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CA312" w14:textId="29FE28B4" w:rsidR="0036378A" w:rsidRPr="00D578EA" w:rsidRDefault="00971837" w:rsidP="001513BB">
      <w:pPr>
        <w:spacing w:after="0" w:line="240" w:lineRule="auto"/>
        <w:contextualSpacing/>
        <w:rPr>
          <w:b/>
          <w:sz w:val="20"/>
        </w:rPr>
      </w:pPr>
      <w:r w:rsidRPr="00D578EA">
        <w:rPr>
          <w:b/>
          <w:sz w:val="20"/>
        </w:rPr>
        <w:t>The NBA hasn’t crowned</w:t>
      </w:r>
      <w:r w:rsidR="00A32E71" w:rsidRPr="00D578EA">
        <w:rPr>
          <w:b/>
          <w:sz w:val="20"/>
        </w:rPr>
        <w:t xml:space="preserve"> a defense-oriented MVP since 1994 Olajuwon</w:t>
      </w:r>
    </w:p>
    <w:p w14:paraId="6DE8BA02" w14:textId="77777777" w:rsidR="001513BB" w:rsidRPr="00D578EA" w:rsidRDefault="001513BB" w:rsidP="001513BB">
      <w:pPr>
        <w:spacing w:after="0" w:line="240" w:lineRule="auto"/>
        <w:contextualSpacing/>
        <w:rPr>
          <w:sz w:val="20"/>
        </w:rPr>
      </w:pPr>
    </w:p>
    <w:p w14:paraId="1434E214" w14:textId="77777777" w:rsidR="00F6645E" w:rsidRPr="00D578EA" w:rsidRDefault="005949A2" w:rsidP="001513BB">
      <w:pPr>
        <w:spacing w:after="0" w:line="240" w:lineRule="auto"/>
        <w:contextualSpacing/>
        <w:rPr>
          <w:sz w:val="20"/>
        </w:rPr>
      </w:pPr>
      <w:r w:rsidRPr="00D578EA">
        <w:rPr>
          <w:sz w:val="20"/>
        </w:rPr>
        <w:t xml:space="preserve">Uncle Drew once lamented in a Pepsi commercial that today’s players didn’t really </w:t>
      </w:r>
      <w:r w:rsidR="004E12FD" w:rsidRPr="00D578EA">
        <w:rPr>
          <w:sz w:val="20"/>
        </w:rPr>
        <w:t>know</w:t>
      </w:r>
      <w:r w:rsidRPr="00D578EA">
        <w:rPr>
          <w:sz w:val="20"/>
        </w:rPr>
        <w:t xml:space="preserve"> basketball, saying </w:t>
      </w:r>
      <w:commentRangeStart w:id="0"/>
      <w:r w:rsidRPr="00D578EA">
        <w:rPr>
          <w:sz w:val="20"/>
        </w:rPr>
        <w:t>“</w:t>
      </w:r>
      <w:r w:rsidR="004E12FD" w:rsidRPr="00D578EA">
        <w:rPr>
          <w:sz w:val="20"/>
        </w:rPr>
        <w:t xml:space="preserve">what these young bloods have to understand … </w:t>
      </w:r>
      <w:r w:rsidRPr="00D578EA">
        <w:rPr>
          <w:sz w:val="20"/>
        </w:rPr>
        <w:t>this game has always been, and always will be, about buckets.”</w:t>
      </w:r>
      <w:commentRangeEnd w:id="0"/>
      <w:r w:rsidRPr="00D578EA">
        <w:rPr>
          <w:rStyle w:val="CommentReference"/>
          <w:sz w:val="12"/>
        </w:rPr>
        <w:commentReference w:id="0"/>
      </w:r>
    </w:p>
    <w:p w14:paraId="4BD1DCC7" w14:textId="77777777" w:rsidR="00F6645E" w:rsidRPr="00D578EA" w:rsidRDefault="00F6645E" w:rsidP="001513BB">
      <w:pPr>
        <w:spacing w:after="0" w:line="240" w:lineRule="auto"/>
        <w:contextualSpacing/>
        <w:rPr>
          <w:sz w:val="20"/>
        </w:rPr>
      </w:pPr>
    </w:p>
    <w:p w14:paraId="4D0F8B05" w14:textId="68C7F722" w:rsidR="00F6645E" w:rsidRPr="00D578EA" w:rsidRDefault="005949A2" w:rsidP="001513BB">
      <w:pPr>
        <w:spacing w:after="0" w:line="240" w:lineRule="auto"/>
        <w:contextualSpacing/>
        <w:rPr>
          <w:sz w:val="20"/>
        </w:rPr>
      </w:pPr>
      <w:r w:rsidRPr="00D578EA">
        <w:rPr>
          <w:sz w:val="20"/>
        </w:rPr>
        <w:t xml:space="preserve">Well, if our history of </w:t>
      </w:r>
      <w:r w:rsidR="00142917" w:rsidRPr="00D578EA">
        <w:rPr>
          <w:sz w:val="20"/>
        </w:rPr>
        <w:t xml:space="preserve">NBA </w:t>
      </w:r>
      <w:r w:rsidRPr="00D578EA">
        <w:rPr>
          <w:sz w:val="20"/>
        </w:rPr>
        <w:t>MVP voting is any indication, Uncle Drew has nothing to worry about. We’ve always focused on buckets.</w:t>
      </w:r>
    </w:p>
    <w:p w14:paraId="685518A7" w14:textId="77777777" w:rsidR="005949A2" w:rsidRPr="00D578EA" w:rsidRDefault="005949A2" w:rsidP="001513BB">
      <w:pPr>
        <w:spacing w:after="0" w:line="240" w:lineRule="auto"/>
        <w:contextualSpacing/>
        <w:rPr>
          <w:sz w:val="20"/>
        </w:rPr>
      </w:pPr>
    </w:p>
    <w:p w14:paraId="239FB6B5" w14:textId="2E3A0FD2" w:rsidR="008C36DD" w:rsidRPr="00D578EA" w:rsidRDefault="00D87C9F" w:rsidP="001513BB">
      <w:pPr>
        <w:spacing w:after="0" w:line="240" w:lineRule="auto"/>
        <w:contextualSpacing/>
        <w:rPr>
          <w:sz w:val="20"/>
        </w:rPr>
      </w:pPr>
      <w:r w:rsidRPr="00D578EA">
        <w:rPr>
          <w:sz w:val="20"/>
        </w:rPr>
        <w:t>According to win shares (</w:t>
      </w:r>
      <w:r w:rsidR="00F17215" w:rsidRPr="00D578EA">
        <w:rPr>
          <w:sz w:val="20"/>
        </w:rPr>
        <w:t xml:space="preserve">WS, </w:t>
      </w:r>
      <w:r w:rsidRPr="00D578EA">
        <w:rPr>
          <w:sz w:val="20"/>
        </w:rPr>
        <w:t>per Basketball Reference</w:t>
      </w:r>
      <w:r w:rsidR="005949A2" w:rsidRPr="00D578EA">
        <w:rPr>
          <w:sz w:val="20"/>
        </w:rPr>
        <w:t>),</w:t>
      </w:r>
      <w:r w:rsidRPr="00D578EA">
        <w:rPr>
          <w:sz w:val="20"/>
        </w:rPr>
        <w:t xml:space="preserve"> 79% of MVPs </w:t>
      </w:r>
      <w:r w:rsidR="005949A2" w:rsidRPr="00D578EA">
        <w:rPr>
          <w:sz w:val="20"/>
        </w:rPr>
        <w:t xml:space="preserve">in the last 60 years </w:t>
      </w:r>
      <w:r w:rsidRPr="00D578EA">
        <w:rPr>
          <w:sz w:val="20"/>
        </w:rPr>
        <w:t xml:space="preserve">have been players who contributed more than half of their </w:t>
      </w:r>
      <w:r w:rsidR="005949A2" w:rsidRPr="00D578EA">
        <w:rPr>
          <w:sz w:val="20"/>
        </w:rPr>
        <w:t xml:space="preserve">win-share </w:t>
      </w:r>
      <w:r w:rsidRPr="00D578EA">
        <w:rPr>
          <w:sz w:val="20"/>
        </w:rPr>
        <w:t xml:space="preserve">value through offense. </w:t>
      </w:r>
      <w:r w:rsidR="004E12FD" w:rsidRPr="00D578EA">
        <w:rPr>
          <w:sz w:val="20"/>
        </w:rPr>
        <w:t xml:space="preserve">This trend is even more pronounced in recent years: </w:t>
      </w:r>
      <w:r w:rsidRPr="00D578EA">
        <w:rPr>
          <w:sz w:val="20"/>
        </w:rPr>
        <w:t>The last 22 MVPs have been offense-oriented players</w:t>
      </w:r>
      <w:r w:rsidR="0030538E">
        <w:rPr>
          <w:sz w:val="20"/>
        </w:rPr>
        <w:t xml:space="preserve">, with </w:t>
      </w:r>
      <w:r w:rsidR="00C25575" w:rsidRPr="00D578EA">
        <w:rPr>
          <w:sz w:val="20"/>
        </w:rPr>
        <w:t xml:space="preserve">Hakeem Olajuwon in 1994 </w:t>
      </w:r>
      <w:r w:rsidR="0030538E">
        <w:rPr>
          <w:sz w:val="20"/>
        </w:rPr>
        <w:t>being</w:t>
      </w:r>
      <w:r w:rsidR="00C25575" w:rsidRPr="00D578EA">
        <w:rPr>
          <w:sz w:val="20"/>
        </w:rPr>
        <w:t xml:space="preserve"> the last player to win MVP primarily through defensive contributions. Given that defense is (ahem) half of the game</w:t>
      </w:r>
      <w:r w:rsidR="004E12FD" w:rsidRPr="00D578EA">
        <w:rPr>
          <w:sz w:val="20"/>
        </w:rPr>
        <w:t xml:space="preserve"> and the half that we so often preach as being more crucial to winning championships</w:t>
      </w:r>
      <w:r w:rsidR="00C25575" w:rsidRPr="00D578EA">
        <w:rPr>
          <w:sz w:val="20"/>
        </w:rPr>
        <w:t xml:space="preserve">, </w:t>
      </w:r>
      <w:r w:rsidR="004E12FD" w:rsidRPr="00D578EA">
        <w:rPr>
          <w:sz w:val="20"/>
        </w:rPr>
        <w:t xml:space="preserve">this trend is very &lt;thinking face emoji&gt;. </w:t>
      </w:r>
    </w:p>
    <w:p w14:paraId="4130F0C8" w14:textId="77777777" w:rsidR="004E12FD" w:rsidRPr="00D578EA" w:rsidRDefault="004E12FD" w:rsidP="001513BB">
      <w:pPr>
        <w:spacing w:after="0" w:line="240" w:lineRule="auto"/>
        <w:contextualSpacing/>
        <w:rPr>
          <w:sz w:val="20"/>
        </w:rPr>
      </w:pPr>
    </w:p>
    <w:p w14:paraId="0D91F6E3" w14:textId="77777777" w:rsidR="00A52FDA" w:rsidRPr="00D578EA" w:rsidRDefault="004E12FD" w:rsidP="004E12FD">
      <w:pPr>
        <w:spacing w:after="0" w:line="240" w:lineRule="auto"/>
        <w:contextualSpacing/>
        <w:rPr>
          <w:sz w:val="20"/>
        </w:rPr>
      </w:pPr>
      <w:r w:rsidRPr="00D578EA">
        <w:rPr>
          <w:sz w:val="20"/>
        </w:rPr>
        <w:t xml:space="preserve">It hasn’t always been this way. During the first decade for which Basketball Reference has data (1956-1965), MVPs contributed just 41.1% of their value through offense, on average. </w:t>
      </w:r>
      <w:r w:rsidR="00A52FDA" w:rsidRPr="00D578EA">
        <w:rPr>
          <w:sz w:val="20"/>
        </w:rPr>
        <w:t>The most extreme example from this era is Bill Russell’s 1963 season, in which he</w:t>
      </w:r>
      <w:r w:rsidRPr="00D578EA">
        <w:rPr>
          <w:sz w:val="20"/>
        </w:rPr>
        <w:t xml:space="preserve"> contributed </w:t>
      </w:r>
      <w:r w:rsidR="00A52FDA" w:rsidRPr="00D578EA">
        <w:rPr>
          <w:sz w:val="20"/>
        </w:rPr>
        <w:t>only</w:t>
      </w:r>
      <w:r w:rsidRPr="00D578EA">
        <w:rPr>
          <w:sz w:val="20"/>
        </w:rPr>
        <w:t xml:space="preserve"> 7.4% of his value through offens</w:t>
      </w:r>
      <w:r w:rsidR="00A52FDA" w:rsidRPr="00D578EA">
        <w:rPr>
          <w:sz w:val="20"/>
        </w:rPr>
        <w:t>e (1 win share on offense, 12.6 win shares on</w:t>
      </w:r>
      <w:r w:rsidRPr="00D578EA">
        <w:rPr>
          <w:sz w:val="20"/>
        </w:rPr>
        <w:t xml:space="preserve"> defense)! </w:t>
      </w:r>
    </w:p>
    <w:p w14:paraId="33B907DB" w14:textId="77777777" w:rsidR="00A52FDA" w:rsidRPr="00D578EA" w:rsidRDefault="00A52FDA" w:rsidP="004E12FD">
      <w:pPr>
        <w:spacing w:after="0" w:line="240" w:lineRule="auto"/>
        <w:contextualSpacing/>
        <w:rPr>
          <w:sz w:val="20"/>
        </w:rPr>
      </w:pPr>
    </w:p>
    <w:p w14:paraId="5C6F2889" w14:textId="0442D1C8" w:rsidR="004E12FD" w:rsidRPr="00D578EA" w:rsidRDefault="004E12FD" w:rsidP="004E12FD">
      <w:pPr>
        <w:spacing w:after="0" w:line="240" w:lineRule="auto"/>
        <w:contextualSpacing/>
        <w:rPr>
          <w:sz w:val="20"/>
        </w:rPr>
      </w:pPr>
      <w:r w:rsidRPr="00D578EA">
        <w:rPr>
          <w:sz w:val="20"/>
        </w:rPr>
        <w:t xml:space="preserve">However, </w:t>
      </w:r>
      <w:r w:rsidR="00A52FDA" w:rsidRPr="00D578EA">
        <w:rPr>
          <w:sz w:val="20"/>
        </w:rPr>
        <w:t xml:space="preserve">if you divide the Basketball Reference data into six decade bins, </w:t>
      </w:r>
      <w:r w:rsidR="00910A0E" w:rsidRPr="00D578EA">
        <w:rPr>
          <w:sz w:val="20"/>
        </w:rPr>
        <w:t xml:space="preserve">you’ll see that </w:t>
      </w:r>
      <w:r w:rsidR="00A52FDA" w:rsidRPr="00D578EA">
        <w:rPr>
          <w:sz w:val="20"/>
        </w:rPr>
        <w:t>the share of MVPs’ value that comes from offense has increased almost every decade</w:t>
      </w:r>
      <w:r w:rsidR="0091288B" w:rsidRPr="00D578EA">
        <w:rPr>
          <w:sz w:val="20"/>
        </w:rPr>
        <w:t xml:space="preserve"> (see table below)</w:t>
      </w:r>
      <w:r w:rsidR="00A52FDA" w:rsidRPr="00D578EA">
        <w:rPr>
          <w:sz w:val="20"/>
        </w:rPr>
        <w:t xml:space="preserve">, with </w:t>
      </w:r>
      <w:r w:rsidR="00910A0E" w:rsidRPr="00D578EA">
        <w:rPr>
          <w:sz w:val="20"/>
        </w:rPr>
        <w:t>MVPs from the most recent decade</w:t>
      </w:r>
      <w:r w:rsidR="00A52FDA" w:rsidRPr="00D578EA">
        <w:rPr>
          <w:sz w:val="20"/>
        </w:rPr>
        <w:t xml:space="preserve"> contributing 72.7% of their value through offense. T</w:t>
      </w:r>
      <w:r w:rsidRPr="00D578EA">
        <w:rPr>
          <w:sz w:val="20"/>
        </w:rPr>
        <w:t xml:space="preserve">he </w:t>
      </w:r>
      <w:r w:rsidR="00A52FDA" w:rsidRPr="00D578EA">
        <w:rPr>
          <w:sz w:val="20"/>
        </w:rPr>
        <w:t xml:space="preserve">player most analogous to </w:t>
      </w:r>
      <w:r w:rsidR="0069017C">
        <w:rPr>
          <w:sz w:val="20"/>
        </w:rPr>
        <w:t xml:space="preserve">1963 </w:t>
      </w:r>
      <w:r w:rsidR="00A52FDA" w:rsidRPr="00D578EA">
        <w:rPr>
          <w:sz w:val="20"/>
        </w:rPr>
        <w:t xml:space="preserve">Bill Russell </w:t>
      </w:r>
      <w:r w:rsidRPr="00D578EA">
        <w:rPr>
          <w:sz w:val="20"/>
        </w:rPr>
        <w:t xml:space="preserve">in recent history is 2004 Ben Wallace (1.1 WS offense, 9.1 WS defense), and he finished a distant seventh in MVP voting. </w:t>
      </w:r>
    </w:p>
    <w:p w14:paraId="2F72F0A7" w14:textId="77777777" w:rsidR="00B7669F" w:rsidRPr="00D578EA" w:rsidRDefault="00B7669F" w:rsidP="004E12FD">
      <w:pPr>
        <w:spacing w:after="0" w:line="240" w:lineRule="auto"/>
        <w:contextualSpacing/>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430"/>
      </w:tblGrid>
      <w:tr w:rsidR="00A52FDA" w:rsidRPr="00D578EA" w14:paraId="1B871EB6" w14:textId="77777777" w:rsidTr="00B7669F">
        <w:trPr>
          <w:jc w:val="center"/>
        </w:trPr>
        <w:tc>
          <w:tcPr>
            <w:tcW w:w="1440" w:type="dxa"/>
            <w:tcBorders>
              <w:bottom w:val="single" w:sz="24" w:space="0" w:color="auto"/>
            </w:tcBorders>
            <w:vAlign w:val="center"/>
          </w:tcPr>
          <w:p w14:paraId="67870B2F" w14:textId="77777777" w:rsidR="00A52FDA" w:rsidRPr="00D578EA" w:rsidRDefault="00A52FDA" w:rsidP="00B7669F">
            <w:pPr>
              <w:contextualSpacing/>
              <w:jc w:val="center"/>
              <w:rPr>
                <w:b/>
                <w:sz w:val="20"/>
              </w:rPr>
            </w:pPr>
            <w:r w:rsidRPr="00D578EA">
              <w:rPr>
                <w:b/>
                <w:sz w:val="20"/>
              </w:rPr>
              <w:t>Decade</w:t>
            </w:r>
          </w:p>
        </w:tc>
        <w:tc>
          <w:tcPr>
            <w:tcW w:w="2430" w:type="dxa"/>
            <w:tcBorders>
              <w:bottom w:val="single" w:sz="24" w:space="0" w:color="auto"/>
            </w:tcBorders>
            <w:vAlign w:val="center"/>
          </w:tcPr>
          <w:p w14:paraId="42C50615" w14:textId="77777777" w:rsidR="00A52FDA" w:rsidRPr="00D578EA" w:rsidRDefault="00A52FDA" w:rsidP="00B7669F">
            <w:pPr>
              <w:contextualSpacing/>
              <w:jc w:val="center"/>
              <w:rPr>
                <w:b/>
                <w:sz w:val="20"/>
              </w:rPr>
            </w:pPr>
            <w:r w:rsidRPr="00D578EA">
              <w:rPr>
                <w:b/>
                <w:sz w:val="20"/>
              </w:rPr>
              <w:t xml:space="preserve">Share of </w:t>
            </w:r>
            <w:r w:rsidR="00B7669F" w:rsidRPr="00D578EA">
              <w:rPr>
                <w:b/>
                <w:sz w:val="20"/>
              </w:rPr>
              <w:t xml:space="preserve">MVPs’ </w:t>
            </w:r>
            <w:r w:rsidRPr="00D578EA">
              <w:rPr>
                <w:b/>
                <w:sz w:val="20"/>
              </w:rPr>
              <w:t xml:space="preserve">value </w:t>
            </w:r>
            <w:r w:rsidR="00B7669F" w:rsidRPr="00D578EA">
              <w:rPr>
                <w:b/>
                <w:sz w:val="20"/>
              </w:rPr>
              <w:br/>
            </w:r>
            <w:r w:rsidRPr="00D578EA">
              <w:rPr>
                <w:b/>
                <w:sz w:val="20"/>
              </w:rPr>
              <w:t>derived from offense</w:t>
            </w:r>
          </w:p>
        </w:tc>
      </w:tr>
      <w:tr w:rsidR="00A52FDA" w:rsidRPr="00D578EA" w14:paraId="0B852701" w14:textId="77777777" w:rsidTr="0078016F">
        <w:trPr>
          <w:jc w:val="center"/>
        </w:trPr>
        <w:tc>
          <w:tcPr>
            <w:tcW w:w="1440" w:type="dxa"/>
            <w:tcBorders>
              <w:top w:val="single" w:sz="24" w:space="0" w:color="auto"/>
            </w:tcBorders>
          </w:tcPr>
          <w:p w14:paraId="29B1DFBF" w14:textId="77777777" w:rsidR="00A52FDA" w:rsidRPr="00D578EA" w:rsidRDefault="00A52FDA" w:rsidP="00A52FDA">
            <w:pPr>
              <w:contextualSpacing/>
              <w:jc w:val="center"/>
              <w:rPr>
                <w:sz w:val="20"/>
              </w:rPr>
            </w:pPr>
            <w:r w:rsidRPr="00D578EA">
              <w:rPr>
                <w:sz w:val="20"/>
              </w:rPr>
              <w:t>1956-1965</w:t>
            </w:r>
          </w:p>
        </w:tc>
        <w:tc>
          <w:tcPr>
            <w:tcW w:w="2430" w:type="dxa"/>
            <w:tcBorders>
              <w:top w:val="single" w:sz="24" w:space="0" w:color="auto"/>
            </w:tcBorders>
            <w:shd w:val="clear" w:color="auto" w:fill="E2EFD9" w:themeFill="accent6" w:themeFillTint="33"/>
          </w:tcPr>
          <w:p w14:paraId="27E15BA2" w14:textId="77777777" w:rsidR="00A52FDA" w:rsidRPr="00D578EA" w:rsidRDefault="00A52FDA" w:rsidP="00A52FDA">
            <w:pPr>
              <w:contextualSpacing/>
              <w:jc w:val="center"/>
              <w:rPr>
                <w:sz w:val="20"/>
              </w:rPr>
            </w:pPr>
            <w:r w:rsidRPr="00D578EA">
              <w:rPr>
                <w:sz w:val="20"/>
              </w:rPr>
              <w:t>41.1%</w:t>
            </w:r>
          </w:p>
        </w:tc>
      </w:tr>
      <w:tr w:rsidR="00A52FDA" w:rsidRPr="00D578EA" w14:paraId="39581A89" w14:textId="77777777" w:rsidTr="0078016F">
        <w:trPr>
          <w:jc w:val="center"/>
        </w:trPr>
        <w:tc>
          <w:tcPr>
            <w:tcW w:w="1440" w:type="dxa"/>
          </w:tcPr>
          <w:p w14:paraId="0E35F9FA" w14:textId="77777777" w:rsidR="00A52FDA" w:rsidRPr="00D578EA" w:rsidRDefault="00A52FDA" w:rsidP="00A52FDA">
            <w:pPr>
              <w:contextualSpacing/>
              <w:jc w:val="center"/>
              <w:rPr>
                <w:sz w:val="20"/>
              </w:rPr>
            </w:pPr>
            <w:r w:rsidRPr="00D578EA">
              <w:rPr>
                <w:sz w:val="20"/>
              </w:rPr>
              <w:t>1966-1975</w:t>
            </w:r>
          </w:p>
        </w:tc>
        <w:tc>
          <w:tcPr>
            <w:tcW w:w="2430" w:type="dxa"/>
            <w:shd w:val="clear" w:color="auto" w:fill="C5E0B3" w:themeFill="accent6" w:themeFillTint="66"/>
          </w:tcPr>
          <w:p w14:paraId="47C3B088" w14:textId="77777777" w:rsidR="00A52FDA" w:rsidRPr="00D578EA" w:rsidRDefault="00A52FDA" w:rsidP="00A52FDA">
            <w:pPr>
              <w:contextualSpacing/>
              <w:jc w:val="center"/>
              <w:rPr>
                <w:sz w:val="20"/>
              </w:rPr>
            </w:pPr>
            <w:r w:rsidRPr="00D578EA">
              <w:rPr>
                <w:sz w:val="20"/>
              </w:rPr>
              <w:t>55.4%</w:t>
            </w:r>
          </w:p>
        </w:tc>
      </w:tr>
      <w:tr w:rsidR="00A52FDA" w:rsidRPr="00D578EA" w14:paraId="10226E9E" w14:textId="77777777" w:rsidTr="0078016F">
        <w:trPr>
          <w:jc w:val="center"/>
        </w:trPr>
        <w:tc>
          <w:tcPr>
            <w:tcW w:w="1440" w:type="dxa"/>
          </w:tcPr>
          <w:p w14:paraId="03FEDE67" w14:textId="77777777" w:rsidR="00A52FDA" w:rsidRPr="00D578EA" w:rsidRDefault="00A52FDA" w:rsidP="00A52FDA">
            <w:pPr>
              <w:contextualSpacing/>
              <w:jc w:val="center"/>
              <w:rPr>
                <w:sz w:val="20"/>
              </w:rPr>
            </w:pPr>
            <w:r w:rsidRPr="00D578EA">
              <w:rPr>
                <w:sz w:val="20"/>
              </w:rPr>
              <w:t>1976-1985</w:t>
            </w:r>
          </w:p>
        </w:tc>
        <w:tc>
          <w:tcPr>
            <w:tcW w:w="2430" w:type="dxa"/>
            <w:shd w:val="clear" w:color="auto" w:fill="A8D08D" w:themeFill="accent6" w:themeFillTint="99"/>
          </w:tcPr>
          <w:p w14:paraId="63A6C6B8" w14:textId="77777777" w:rsidR="00A52FDA" w:rsidRPr="00D578EA" w:rsidRDefault="00A52FDA" w:rsidP="00A52FDA">
            <w:pPr>
              <w:contextualSpacing/>
              <w:jc w:val="center"/>
              <w:rPr>
                <w:sz w:val="20"/>
              </w:rPr>
            </w:pPr>
            <w:r w:rsidRPr="00D578EA">
              <w:rPr>
                <w:sz w:val="20"/>
              </w:rPr>
              <w:t>62.5%</w:t>
            </w:r>
          </w:p>
        </w:tc>
      </w:tr>
      <w:tr w:rsidR="00A52FDA" w:rsidRPr="00D578EA" w14:paraId="5D3A0EF4" w14:textId="77777777" w:rsidTr="0078016F">
        <w:trPr>
          <w:jc w:val="center"/>
        </w:trPr>
        <w:tc>
          <w:tcPr>
            <w:tcW w:w="1440" w:type="dxa"/>
          </w:tcPr>
          <w:p w14:paraId="13FA5AD9" w14:textId="77777777" w:rsidR="00A52FDA" w:rsidRPr="00D578EA" w:rsidRDefault="00A52FDA" w:rsidP="00A52FDA">
            <w:pPr>
              <w:contextualSpacing/>
              <w:jc w:val="center"/>
              <w:rPr>
                <w:sz w:val="20"/>
              </w:rPr>
            </w:pPr>
            <w:r w:rsidRPr="00D578EA">
              <w:rPr>
                <w:sz w:val="20"/>
              </w:rPr>
              <w:t>1986-1995</w:t>
            </w:r>
          </w:p>
        </w:tc>
        <w:tc>
          <w:tcPr>
            <w:tcW w:w="2430" w:type="dxa"/>
            <w:shd w:val="clear" w:color="auto" w:fill="A8D08D" w:themeFill="accent6" w:themeFillTint="99"/>
          </w:tcPr>
          <w:p w14:paraId="067BFA32" w14:textId="77777777" w:rsidR="00A52FDA" w:rsidRPr="00D578EA" w:rsidRDefault="00A52FDA" w:rsidP="00A52FDA">
            <w:pPr>
              <w:contextualSpacing/>
              <w:jc w:val="center"/>
              <w:rPr>
                <w:sz w:val="20"/>
              </w:rPr>
            </w:pPr>
            <w:r w:rsidRPr="00D578EA">
              <w:rPr>
                <w:sz w:val="20"/>
              </w:rPr>
              <w:t>67.5%</w:t>
            </w:r>
          </w:p>
        </w:tc>
      </w:tr>
      <w:tr w:rsidR="00A52FDA" w:rsidRPr="00D578EA" w14:paraId="1D56BC6C" w14:textId="77777777" w:rsidTr="0078016F">
        <w:trPr>
          <w:jc w:val="center"/>
        </w:trPr>
        <w:tc>
          <w:tcPr>
            <w:tcW w:w="1440" w:type="dxa"/>
          </w:tcPr>
          <w:p w14:paraId="175C88B9" w14:textId="77777777" w:rsidR="00A52FDA" w:rsidRPr="00D578EA" w:rsidRDefault="00A52FDA" w:rsidP="00A52FDA">
            <w:pPr>
              <w:contextualSpacing/>
              <w:jc w:val="center"/>
              <w:rPr>
                <w:sz w:val="20"/>
              </w:rPr>
            </w:pPr>
            <w:r w:rsidRPr="00D578EA">
              <w:rPr>
                <w:sz w:val="20"/>
              </w:rPr>
              <w:t>1996-2005</w:t>
            </w:r>
          </w:p>
        </w:tc>
        <w:tc>
          <w:tcPr>
            <w:tcW w:w="2430" w:type="dxa"/>
            <w:shd w:val="clear" w:color="auto" w:fill="A8D08D" w:themeFill="accent6" w:themeFillTint="99"/>
          </w:tcPr>
          <w:p w14:paraId="53F5F221" w14:textId="77777777" w:rsidR="00A52FDA" w:rsidRPr="00D578EA" w:rsidRDefault="00A52FDA" w:rsidP="00A52FDA">
            <w:pPr>
              <w:contextualSpacing/>
              <w:jc w:val="center"/>
              <w:rPr>
                <w:sz w:val="20"/>
              </w:rPr>
            </w:pPr>
            <w:r w:rsidRPr="00D578EA">
              <w:rPr>
                <w:sz w:val="20"/>
              </w:rPr>
              <w:t>65.8%</w:t>
            </w:r>
          </w:p>
        </w:tc>
      </w:tr>
      <w:tr w:rsidR="00A52FDA" w:rsidRPr="00D578EA" w14:paraId="16E3FA96" w14:textId="77777777" w:rsidTr="0078016F">
        <w:trPr>
          <w:jc w:val="center"/>
        </w:trPr>
        <w:tc>
          <w:tcPr>
            <w:tcW w:w="1440" w:type="dxa"/>
          </w:tcPr>
          <w:p w14:paraId="23874C4F" w14:textId="77777777" w:rsidR="00A52FDA" w:rsidRPr="00D578EA" w:rsidRDefault="00A52FDA" w:rsidP="00A52FDA">
            <w:pPr>
              <w:contextualSpacing/>
              <w:jc w:val="center"/>
              <w:rPr>
                <w:sz w:val="20"/>
              </w:rPr>
            </w:pPr>
            <w:r w:rsidRPr="00D578EA">
              <w:rPr>
                <w:sz w:val="20"/>
              </w:rPr>
              <w:t>2006-2016</w:t>
            </w:r>
          </w:p>
        </w:tc>
        <w:tc>
          <w:tcPr>
            <w:tcW w:w="2430" w:type="dxa"/>
            <w:shd w:val="clear" w:color="auto" w:fill="538135" w:themeFill="accent6" w:themeFillShade="BF"/>
          </w:tcPr>
          <w:p w14:paraId="18873AB5" w14:textId="77777777" w:rsidR="00A52FDA" w:rsidRPr="00D578EA" w:rsidRDefault="00A52FDA" w:rsidP="00A52FDA">
            <w:pPr>
              <w:contextualSpacing/>
              <w:jc w:val="center"/>
              <w:rPr>
                <w:sz w:val="20"/>
              </w:rPr>
            </w:pPr>
            <w:r w:rsidRPr="00D578EA">
              <w:rPr>
                <w:sz w:val="20"/>
              </w:rPr>
              <w:t>72.7%</w:t>
            </w:r>
          </w:p>
        </w:tc>
      </w:tr>
    </w:tbl>
    <w:p w14:paraId="0D37A6D9" w14:textId="77777777" w:rsidR="0078016F" w:rsidRPr="00D578EA" w:rsidRDefault="0078016F" w:rsidP="004E12FD">
      <w:pPr>
        <w:spacing w:after="0" w:line="240" w:lineRule="auto"/>
        <w:contextualSpacing/>
        <w:rPr>
          <w:sz w:val="20"/>
        </w:rPr>
      </w:pPr>
    </w:p>
    <w:p w14:paraId="0168FA0B" w14:textId="77777777" w:rsidR="008C36DD" w:rsidRPr="00D578EA" w:rsidRDefault="008C36DD" w:rsidP="001513BB">
      <w:pPr>
        <w:spacing w:after="0" w:line="240" w:lineRule="auto"/>
        <w:contextualSpacing/>
        <w:rPr>
          <w:sz w:val="20"/>
        </w:rPr>
      </w:pPr>
      <w:r w:rsidRPr="00D578EA">
        <w:rPr>
          <w:sz w:val="20"/>
        </w:rPr>
        <w:t xml:space="preserve">Check out </w:t>
      </w:r>
      <w:r w:rsidR="00910A0E" w:rsidRPr="00D578EA">
        <w:rPr>
          <w:sz w:val="20"/>
        </w:rPr>
        <w:t>two more graphs about the statistical profile</w:t>
      </w:r>
      <w:r w:rsidR="0084173F" w:rsidRPr="00D578EA">
        <w:rPr>
          <w:sz w:val="20"/>
        </w:rPr>
        <w:t>s of MVPs throughout the years:</w:t>
      </w:r>
    </w:p>
    <w:p w14:paraId="334D178B" w14:textId="77777777" w:rsidR="008C36DD" w:rsidRPr="00D578EA" w:rsidRDefault="008C36DD" w:rsidP="001513BB">
      <w:pPr>
        <w:spacing w:after="0" w:line="240" w:lineRule="auto"/>
        <w:contextualSpacing/>
        <w:rPr>
          <w:sz w:val="20"/>
        </w:rPr>
      </w:pPr>
    </w:p>
    <w:p w14:paraId="4DA10876" w14:textId="7F978158" w:rsidR="00CB49C0" w:rsidRDefault="001713A1" w:rsidP="001713A1">
      <w:pPr>
        <w:spacing w:after="0" w:line="240" w:lineRule="auto"/>
        <w:contextualSpacing/>
        <w:jc w:val="center"/>
        <w:rPr>
          <w:sz w:val="20"/>
        </w:rPr>
      </w:pPr>
      <w:r>
        <w:rPr>
          <w:noProof/>
        </w:rPr>
        <w:drawing>
          <wp:inline distT="0" distB="0" distL="0" distR="0" wp14:anchorId="682128A1" wp14:editId="0808AAAB">
            <wp:extent cx="2679700" cy="2642769"/>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91195" cy="2654105"/>
                    </a:xfrm>
                    <a:prstGeom prst="rect">
                      <a:avLst/>
                    </a:prstGeom>
                  </pic:spPr>
                </pic:pic>
              </a:graphicData>
            </a:graphic>
          </wp:inline>
        </w:drawing>
      </w:r>
    </w:p>
    <w:p w14:paraId="35CE832D" w14:textId="54086C6A" w:rsidR="00CB49C0" w:rsidRPr="00D578EA" w:rsidRDefault="00CB49C0" w:rsidP="001513BB">
      <w:pPr>
        <w:spacing w:after="0" w:line="240" w:lineRule="auto"/>
        <w:contextualSpacing/>
        <w:rPr>
          <w:sz w:val="20"/>
        </w:rPr>
      </w:pPr>
      <w:r w:rsidRPr="00D578EA">
        <w:rPr>
          <w:sz w:val="20"/>
        </w:rPr>
        <w:lastRenderedPageBreak/>
        <w:t xml:space="preserve">The diagonal indicates a balanced offense-defense profile. Notice how many of the </w:t>
      </w:r>
      <w:r w:rsidR="0084173F" w:rsidRPr="00D578EA">
        <w:rPr>
          <w:sz w:val="20"/>
        </w:rPr>
        <w:t xml:space="preserve">early </w:t>
      </w:r>
      <w:r w:rsidRPr="00D578EA">
        <w:rPr>
          <w:sz w:val="20"/>
        </w:rPr>
        <w:t xml:space="preserve">MVPs </w:t>
      </w:r>
      <w:r w:rsidR="0084173F" w:rsidRPr="00D578EA">
        <w:rPr>
          <w:sz w:val="20"/>
        </w:rPr>
        <w:t>(red-ish dots</w:t>
      </w:r>
      <w:r w:rsidR="0069017C">
        <w:rPr>
          <w:sz w:val="20"/>
        </w:rPr>
        <w:t>, darker indicating earlier seasons</w:t>
      </w:r>
      <w:r w:rsidR="0084173F" w:rsidRPr="00D578EA">
        <w:rPr>
          <w:sz w:val="20"/>
        </w:rPr>
        <w:t xml:space="preserve">) </w:t>
      </w:r>
      <w:r w:rsidRPr="00D578EA">
        <w:rPr>
          <w:sz w:val="20"/>
        </w:rPr>
        <w:t xml:space="preserve">are above the diagonal (defense-oriented) and how many of the recent MVPs </w:t>
      </w:r>
      <w:r w:rsidR="0084173F" w:rsidRPr="00D578EA">
        <w:rPr>
          <w:sz w:val="20"/>
        </w:rPr>
        <w:t>(blue-ish dots</w:t>
      </w:r>
      <w:r w:rsidR="0069017C">
        <w:rPr>
          <w:sz w:val="20"/>
        </w:rPr>
        <w:t>, darker indicating more recent seasons</w:t>
      </w:r>
      <w:r w:rsidR="0084173F" w:rsidRPr="00D578EA">
        <w:rPr>
          <w:sz w:val="20"/>
        </w:rPr>
        <w:t>) a</w:t>
      </w:r>
      <w:r w:rsidR="0069017C">
        <w:rPr>
          <w:sz w:val="20"/>
        </w:rPr>
        <w:t>re below it (offense-oriented). A</w:t>
      </w:r>
      <w:r w:rsidR="0084173F" w:rsidRPr="00D578EA">
        <w:rPr>
          <w:sz w:val="20"/>
        </w:rPr>
        <w:t>lso</w:t>
      </w:r>
      <w:r w:rsidR="0069017C">
        <w:rPr>
          <w:sz w:val="20"/>
        </w:rPr>
        <w:t>, notice</w:t>
      </w:r>
      <w:r w:rsidR="0084173F" w:rsidRPr="00D578EA">
        <w:rPr>
          <w:sz w:val="20"/>
        </w:rPr>
        <w:t xml:space="preserve"> how most MVPs are offense-oriented in general.</w:t>
      </w:r>
    </w:p>
    <w:p w14:paraId="4E8B3182" w14:textId="77777777" w:rsidR="00CB49C0" w:rsidRPr="00D578EA" w:rsidRDefault="00CB49C0" w:rsidP="001513BB">
      <w:pPr>
        <w:spacing w:after="0" w:line="240" w:lineRule="auto"/>
        <w:contextualSpacing/>
        <w:rPr>
          <w:sz w:val="20"/>
        </w:rPr>
      </w:pPr>
    </w:p>
    <w:p w14:paraId="4249DC2C" w14:textId="67B2A0E4" w:rsidR="008C36DD" w:rsidRPr="00D578EA" w:rsidRDefault="001713A1" w:rsidP="0078016F">
      <w:pPr>
        <w:spacing w:after="0" w:line="240" w:lineRule="auto"/>
        <w:contextualSpacing/>
        <w:jc w:val="center"/>
        <w:rPr>
          <w:sz w:val="20"/>
        </w:rPr>
      </w:pPr>
      <w:r>
        <w:rPr>
          <w:noProof/>
          <w:sz w:val="20"/>
        </w:rPr>
        <w:drawing>
          <wp:inline distT="0" distB="0" distL="0" distR="0" wp14:anchorId="28D66C4A" wp14:editId="259DED0E">
            <wp:extent cx="4089400" cy="2125613"/>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6348" cy="2129224"/>
                    </a:xfrm>
                    <a:prstGeom prst="rect">
                      <a:avLst/>
                    </a:prstGeom>
                    <a:noFill/>
                    <a:ln>
                      <a:noFill/>
                    </a:ln>
                  </pic:spPr>
                </pic:pic>
              </a:graphicData>
            </a:graphic>
          </wp:inline>
        </w:drawing>
      </w:r>
    </w:p>
    <w:p w14:paraId="243AA2E1" w14:textId="77777777" w:rsidR="001713A1" w:rsidRDefault="001713A1" w:rsidP="001513BB">
      <w:pPr>
        <w:spacing w:after="0" w:line="240" w:lineRule="auto"/>
        <w:contextualSpacing/>
        <w:rPr>
          <w:sz w:val="20"/>
        </w:rPr>
      </w:pPr>
    </w:p>
    <w:p w14:paraId="26905DD3" w14:textId="4AD338E6" w:rsidR="008C36DD" w:rsidRPr="00D578EA" w:rsidRDefault="00CB49C0" w:rsidP="001513BB">
      <w:pPr>
        <w:spacing w:after="0" w:line="240" w:lineRule="auto"/>
        <w:contextualSpacing/>
        <w:rPr>
          <w:sz w:val="20"/>
        </w:rPr>
      </w:pPr>
      <w:r w:rsidRPr="00D578EA">
        <w:rPr>
          <w:sz w:val="20"/>
        </w:rPr>
        <w:t xml:space="preserve">And here, we see that the profiles of MVPs varied much more widely in the </w:t>
      </w:r>
      <w:r w:rsidR="008877DD" w:rsidRPr="00D578EA">
        <w:rPr>
          <w:sz w:val="20"/>
        </w:rPr>
        <w:t xml:space="preserve">early </w:t>
      </w:r>
      <w:r w:rsidR="00870A4F" w:rsidRPr="00D578EA">
        <w:rPr>
          <w:sz w:val="20"/>
        </w:rPr>
        <w:t>days, while now</w:t>
      </w:r>
      <w:r w:rsidR="001D795D" w:rsidRPr="00D578EA">
        <w:rPr>
          <w:sz w:val="20"/>
        </w:rPr>
        <w:t>adays</w:t>
      </w:r>
      <w:r w:rsidR="00870A4F" w:rsidRPr="00D578EA">
        <w:rPr>
          <w:sz w:val="20"/>
        </w:rPr>
        <w:t xml:space="preserve"> </w:t>
      </w:r>
      <w:r w:rsidR="00E84985" w:rsidRPr="00D578EA">
        <w:rPr>
          <w:sz w:val="20"/>
        </w:rPr>
        <w:t xml:space="preserve">only </w:t>
      </w:r>
      <w:r w:rsidR="00335BD4">
        <w:rPr>
          <w:sz w:val="20"/>
        </w:rPr>
        <w:t>offense-oriented players win the award.</w:t>
      </w:r>
    </w:p>
    <w:p w14:paraId="0B6C3954" w14:textId="515ECA53" w:rsidR="007A20F0" w:rsidRPr="00D578EA" w:rsidRDefault="007A20F0" w:rsidP="001513BB">
      <w:pPr>
        <w:spacing w:after="0" w:line="240" w:lineRule="auto"/>
        <w:contextualSpacing/>
        <w:rPr>
          <w:sz w:val="20"/>
        </w:rPr>
      </w:pPr>
    </w:p>
    <w:p w14:paraId="3C84C17F" w14:textId="15053AA6" w:rsidR="00622EE2" w:rsidRPr="00D578EA" w:rsidRDefault="00622EE2" w:rsidP="001513BB">
      <w:pPr>
        <w:spacing w:after="0" w:line="240" w:lineRule="auto"/>
        <w:contextualSpacing/>
        <w:rPr>
          <w:sz w:val="20"/>
        </w:rPr>
      </w:pPr>
      <w:r w:rsidRPr="00D578EA">
        <w:rPr>
          <w:sz w:val="20"/>
        </w:rPr>
        <w:t>Our understanding of basketball is much more nuanced now than it has been ever before, so why is it still “glitzy” offense that catches our eye perhaps more than it should?</w:t>
      </w:r>
    </w:p>
    <w:p w14:paraId="04A7BAFD" w14:textId="31BD36BB" w:rsidR="00622EE2" w:rsidRPr="00D578EA" w:rsidRDefault="00622EE2" w:rsidP="001513BB">
      <w:pPr>
        <w:spacing w:after="0" w:line="240" w:lineRule="auto"/>
        <w:contextualSpacing/>
        <w:rPr>
          <w:sz w:val="20"/>
        </w:rPr>
      </w:pPr>
    </w:p>
    <w:p w14:paraId="42E96DF7" w14:textId="1646DF56" w:rsidR="00622EE2" w:rsidRPr="00D578EA" w:rsidRDefault="00622EE2" w:rsidP="001513BB">
      <w:pPr>
        <w:spacing w:after="0" w:line="240" w:lineRule="auto"/>
        <w:contextualSpacing/>
        <w:rPr>
          <w:sz w:val="20"/>
        </w:rPr>
      </w:pPr>
      <w:r w:rsidRPr="00D578EA">
        <w:rPr>
          <w:sz w:val="20"/>
        </w:rPr>
        <w:t xml:space="preserve">Well, for one, defense </w:t>
      </w:r>
      <w:r w:rsidR="00335BD4">
        <w:rPr>
          <w:sz w:val="20"/>
        </w:rPr>
        <w:t>prowess has always been</w:t>
      </w:r>
      <w:r w:rsidRPr="00D578EA">
        <w:rPr>
          <w:sz w:val="20"/>
        </w:rPr>
        <w:t xml:space="preserve"> much more difficult to judge because a lot of the value comes in things that *don’t* happen. Quantifying the value of late-2000s Dwight Howard deterring players from even attempting to drive, for example, is relatively tough.</w:t>
      </w:r>
    </w:p>
    <w:p w14:paraId="11ED813C" w14:textId="2272F89D" w:rsidR="00AE012A" w:rsidRPr="00D578EA" w:rsidRDefault="00AE012A" w:rsidP="001513BB">
      <w:pPr>
        <w:spacing w:after="0" w:line="240" w:lineRule="auto"/>
        <w:contextualSpacing/>
        <w:rPr>
          <w:sz w:val="20"/>
        </w:rPr>
      </w:pPr>
    </w:p>
    <w:p w14:paraId="1DC4744E" w14:textId="6E904AA7" w:rsidR="004A5482" w:rsidRPr="00D578EA" w:rsidRDefault="00622EE2" w:rsidP="001513BB">
      <w:pPr>
        <w:spacing w:after="0" w:line="240" w:lineRule="auto"/>
        <w:contextualSpacing/>
        <w:rPr>
          <w:sz w:val="20"/>
        </w:rPr>
      </w:pPr>
      <w:r w:rsidRPr="00D578EA">
        <w:rPr>
          <w:sz w:val="20"/>
        </w:rPr>
        <w:t xml:space="preserve">However, it might also be true that </w:t>
      </w:r>
      <w:r w:rsidR="004A5482" w:rsidRPr="00D578EA">
        <w:rPr>
          <w:sz w:val="20"/>
        </w:rPr>
        <w:t>the ceiling for offensive impact is higher than for defense, so players who are great on offense indeed actually exert more influence than great defensive players. A look at more win-share statistics supports this notion</w:t>
      </w:r>
      <w:r w:rsidR="00142917" w:rsidRPr="00D578EA">
        <w:rPr>
          <w:sz w:val="20"/>
        </w:rPr>
        <w:t xml:space="preserve"> (single-season records for win shares: </w:t>
      </w:r>
      <w:commentRangeStart w:id="1"/>
      <w:r w:rsidR="00142917" w:rsidRPr="00D578EA">
        <w:rPr>
          <w:sz w:val="20"/>
        </w:rPr>
        <w:t>offense</w:t>
      </w:r>
      <w:commentRangeEnd w:id="1"/>
      <w:r w:rsidR="00142917" w:rsidRPr="00D578EA">
        <w:rPr>
          <w:rStyle w:val="CommentReference"/>
          <w:sz w:val="12"/>
        </w:rPr>
        <w:commentReference w:id="1"/>
      </w:r>
      <w:r w:rsidR="00142917" w:rsidRPr="00D578EA">
        <w:rPr>
          <w:sz w:val="20"/>
        </w:rPr>
        <w:t xml:space="preserve">, </w:t>
      </w:r>
      <w:commentRangeStart w:id="2"/>
      <w:r w:rsidR="00142917" w:rsidRPr="00D578EA">
        <w:rPr>
          <w:sz w:val="20"/>
        </w:rPr>
        <w:t>defense</w:t>
      </w:r>
      <w:commentRangeEnd w:id="2"/>
      <w:r w:rsidR="00142917" w:rsidRPr="00D578EA">
        <w:rPr>
          <w:rStyle w:val="CommentReference"/>
          <w:sz w:val="12"/>
        </w:rPr>
        <w:commentReference w:id="2"/>
      </w:r>
      <w:r w:rsidR="00142917" w:rsidRPr="00D578EA">
        <w:rPr>
          <w:sz w:val="20"/>
        </w:rPr>
        <w:t>)</w:t>
      </w:r>
      <w:r w:rsidR="004A5482" w:rsidRPr="00D578EA">
        <w:rPr>
          <w:sz w:val="20"/>
        </w:rPr>
        <w:t>:</w:t>
      </w:r>
    </w:p>
    <w:p w14:paraId="51DFFE8B" w14:textId="1084C2C8" w:rsidR="00CB49C0" w:rsidRPr="00D578EA" w:rsidRDefault="004A5482" w:rsidP="004A5482">
      <w:pPr>
        <w:pStyle w:val="ListParagraph"/>
        <w:numPr>
          <w:ilvl w:val="0"/>
          <w:numId w:val="3"/>
        </w:numPr>
        <w:spacing w:after="0" w:line="240" w:lineRule="auto"/>
        <w:rPr>
          <w:sz w:val="20"/>
        </w:rPr>
      </w:pPr>
      <w:r w:rsidRPr="00D578EA">
        <w:rPr>
          <w:sz w:val="20"/>
        </w:rPr>
        <w:t>The top seven seasons on one side of the ball are from offense</w:t>
      </w:r>
    </w:p>
    <w:p w14:paraId="50312C47" w14:textId="0C75F21B" w:rsidR="004A5482" w:rsidRPr="00D578EA" w:rsidRDefault="004A5482" w:rsidP="004A5482">
      <w:pPr>
        <w:pStyle w:val="ListParagraph"/>
        <w:numPr>
          <w:ilvl w:val="0"/>
          <w:numId w:val="3"/>
        </w:numPr>
        <w:spacing w:after="0" w:line="240" w:lineRule="auto"/>
        <w:rPr>
          <w:sz w:val="20"/>
        </w:rPr>
      </w:pPr>
      <w:r w:rsidRPr="00D578EA">
        <w:rPr>
          <w:sz w:val="20"/>
        </w:rPr>
        <w:t>There have been 169 seasons in which a player has produced double-digit offensive win shares, but only 8 seasons in which a player has done the same on defense</w:t>
      </w:r>
    </w:p>
    <w:p w14:paraId="23D59DE6" w14:textId="4FD9A8C4" w:rsidR="004A5482" w:rsidRPr="00D578EA" w:rsidRDefault="004A5482" w:rsidP="004A5482">
      <w:pPr>
        <w:spacing w:after="0" w:line="240" w:lineRule="auto"/>
        <w:rPr>
          <w:sz w:val="20"/>
        </w:rPr>
      </w:pPr>
    </w:p>
    <w:p w14:paraId="6C2C54F8" w14:textId="20467F7F" w:rsidR="004A5482" w:rsidRPr="00D578EA" w:rsidRDefault="004A5482" w:rsidP="004A5482">
      <w:pPr>
        <w:spacing w:after="0" w:line="240" w:lineRule="auto"/>
        <w:rPr>
          <w:sz w:val="20"/>
        </w:rPr>
      </w:pPr>
      <w:r w:rsidRPr="00D578EA">
        <w:rPr>
          <w:sz w:val="20"/>
        </w:rPr>
        <w:t>So it might not be that voters just look toward shiny things on offense – basketball</w:t>
      </w:r>
      <w:r w:rsidR="00335BD4">
        <w:rPr>
          <w:sz w:val="20"/>
        </w:rPr>
        <w:t>, as it’s played in the NBA,</w:t>
      </w:r>
      <w:r w:rsidRPr="00D578EA">
        <w:rPr>
          <w:sz w:val="20"/>
        </w:rPr>
        <w:t xml:space="preserve"> is likely a sport in which </w:t>
      </w:r>
      <w:r w:rsidR="00142917" w:rsidRPr="00D578EA">
        <w:rPr>
          <w:sz w:val="20"/>
        </w:rPr>
        <w:t xml:space="preserve">individual brilliance on offense is more impactful than individual brilliance on defense, so it tends to be great offensive players that put up more of the historic win-share </w:t>
      </w:r>
      <w:r w:rsidR="001D795D" w:rsidRPr="00D578EA">
        <w:rPr>
          <w:sz w:val="20"/>
        </w:rPr>
        <w:t>totals</w:t>
      </w:r>
      <w:r w:rsidR="00142917" w:rsidRPr="00D578EA">
        <w:rPr>
          <w:sz w:val="20"/>
        </w:rPr>
        <w:t xml:space="preserve">. MVPs aren’t selected by win shares, of course, but </w:t>
      </w:r>
      <w:r w:rsidR="00537ED7">
        <w:rPr>
          <w:sz w:val="20"/>
        </w:rPr>
        <w:t>win shares are a dece</w:t>
      </w:r>
      <w:r w:rsidR="00335BD4">
        <w:rPr>
          <w:sz w:val="20"/>
        </w:rPr>
        <w:t>nt indication of the overall impact that MVP voters presumably look for.</w:t>
      </w:r>
    </w:p>
    <w:p w14:paraId="1934E8B9" w14:textId="2FB85835" w:rsidR="00CD2A16" w:rsidRDefault="00CD2A16" w:rsidP="001513BB">
      <w:pPr>
        <w:spacing w:after="0" w:line="240" w:lineRule="auto"/>
        <w:contextualSpacing/>
        <w:rPr>
          <w:sz w:val="20"/>
        </w:rPr>
      </w:pPr>
    </w:p>
    <w:p w14:paraId="4E1CB36F" w14:textId="3E1C7C6C" w:rsidR="003B1FBF" w:rsidRDefault="003B1FBF" w:rsidP="001513BB">
      <w:pPr>
        <w:spacing w:after="0" w:line="240" w:lineRule="auto"/>
        <w:contextualSpacing/>
        <w:rPr>
          <w:sz w:val="20"/>
        </w:rPr>
      </w:pPr>
    </w:p>
    <w:p w14:paraId="65DDFF91" w14:textId="10A250B2" w:rsidR="003B1FBF" w:rsidRDefault="003B1FBF" w:rsidP="001513BB">
      <w:pPr>
        <w:spacing w:after="0" w:line="240" w:lineRule="auto"/>
        <w:contextualSpacing/>
        <w:rPr>
          <w:sz w:val="20"/>
        </w:rPr>
      </w:pPr>
    </w:p>
    <w:p w14:paraId="3DFE692C" w14:textId="641592C7" w:rsidR="003B1FBF" w:rsidRDefault="003B1FBF" w:rsidP="001513BB">
      <w:pPr>
        <w:spacing w:after="0" w:line="240" w:lineRule="auto"/>
        <w:contextualSpacing/>
        <w:rPr>
          <w:sz w:val="20"/>
        </w:rPr>
      </w:pPr>
    </w:p>
    <w:p w14:paraId="2AACB54F" w14:textId="3EB46972" w:rsidR="003B1FBF" w:rsidRDefault="003B1FBF" w:rsidP="001513BB">
      <w:pPr>
        <w:spacing w:after="0" w:line="240" w:lineRule="auto"/>
        <w:contextualSpacing/>
        <w:rPr>
          <w:sz w:val="20"/>
        </w:rPr>
      </w:pPr>
    </w:p>
    <w:p w14:paraId="2A3E1AC6" w14:textId="2B95E809" w:rsidR="003B1FBF" w:rsidRDefault="003B1FBF" w:rsidP="001513BB">
      <w:pPr>
        <w:spacing w:after="0" w:line="240" w:lineRule="auto"/>
        <w:contextualSpacing/>
        <w:rPr>
          <w:sz w:val="20"/>
        </w:rPr>
      </w:pPr>
    </w:p>
    <w:p w14:paraId="30F36D66" w14:textId="05B8AA84" w:rsidR="003B1FBF" w:rsidRDefault="003B1FBF" w:rsidP="001513BB">
      <w:pPr>
        <w:spacing w:after="0" w:line="240" w:lineRule="auto"/>
        <w:contextualSpacing/>
        <w:rPr>
          <w:sz w:val="20"/>
        </w:rPr>
      </w:pPr>
    </w:p>
    <w:p w14:paraId="18722FDF" w14:textId="6FA32E0A" w:rsidR="003B1FBF" w:rsidRDefault="003B1FBF" w:rsidP="001513BB">
      <w:pPr>
        <w:spacing w:after="0" w:line="240" w:lineRule="auto"/>
        <w:contextualSpacing/>
        <w:rPr>
          <w:sz w:val="20"/>
        </w:rPr>
      </w:pPr>
    </w:p>
    <w:p w14:paraId="622A2007" w14:textId="051BAA0D" w:rsidR="003B1FBF" w:rsidRDefault="003B1FBF" w:rsidP="001513BB">
      <w:pPr>
        <w:spacing w:after="0" w:line="240" w:lineRule="auto"/>
        <w:contextualSpacing/>
        <w:rPr>
          <w:sz w:val="20"/>
        </w:rPr>
      </w:pPr>
    </w:p>
    <w:p w14:paraId="115771B8" w14:textId="77777777" w:rsidR="003B1FBF" w:rsidRPr="00D578EA" w:rsidRDefault="003B1FBF" w:rsidP="001513BB">
      <w:pPr>
        <w:spacing w:after="0" w:line="240" w:lineRule="auto"/>
        <w:contextualSpacing/>
        <w:rPr>
          <w:sz w:val="20"/>
        </w:rPr>
      </w:pPr>
      <w:bookmarkStart w:id="3" w:name="_GoBack"/>
      <w:bookmarkEnd w:id="3"/>
    </w:p>
    <w:p w14:paraId="09E8D699" w14:textId="7EC150D0" w:rsidR="008C299A" w:rsidRDefault="00023EF7" w:rsidP="008C299A">
      <w:pPr>
        <w:spacing w:after="0" w:line="240" w:lineRule="auto"/>
        <w:rPr>
          <w:sz w:val="20"/>
        </w:rPr>
      </w:pPr>
      <w:r>
        <w:rPr>
          <w:sz w:val="20"/>
        </w:rPr>
        <w:lastRenderedPageBreak/>
        <w:t>How does this year’s MVP race stack up</w:t>
      </w:r>
      <w:r w:rsidR="00501E18">
        <w:rPr>
          <w:sz w:val="20"/>
        </w:rPr>
        <w:t xml:space="preserve"> to past races</w:t>
      </w:r>
      <w:r w:rsidR="001D795D" w:rsidRPr="00D578EA">
        <w:rPr>
          <w:sz w:val="20"/>
        </w:rPr>
        <w:t>?</w:t>
      </w:r>
      <w:r w:rsidR="00D578EA" w:rsidRPr="00D578EA">
        <w:rPr>
          <w:sz w:val="20"/>
        </w:rPr>
        <w:t xml:space="preserve"> Let’s take a look at the top ten candidates according to Basketball Reference’s predictive model</w:t>
      </w:r>
      <w:r w:rsidR="00D578EA">
        <w:rPr>
          <w:sz w:val="20"/>
        </w:rPr>
        <w:t xml:space="preserve"> (as of Saturday)</w:t>
      </w:r>
      <w:r w:rsidR="00D578EA" w:rsidRPr="00D578EA">
        <w:rPr>
          <w:sz w:val="20"/>
        </w:rPr>
        <w:t>:</w:t>
      </w:r>
    </w:p>
    <w:p w14:paraId="798D675A" w14:textId="40C2E448" w:rsidR="00D578EA" w:rsidRPr="00D578EA" w:rsidRDefault="00D578EA" w:rsidP="008C299A">
      <w:pPr>
        <w:spacing w:after="0" w:line="240" w:lineRule="auto"/>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135"/>
        <w:gridCol w:w="1169"/>
        <w:gridCol w:w="1170"/>
        <w:gridCol w:w="1175"/>
        <w:gridCol w:w="1440"/>
      </w:tblGrid>
      <w:tr w:rsidR="00D578EA" w:rsidRPr="00D578EA" w14:paraId="34F46CCC" w14:textId="77777777" w:rsidTr="00240674">
        <w:trPr>
          <w:jc w:val="center"/>
        </w:trPr>
        <w:tc>
          <w:tcPr>
            <w:tcW w:w="1741" w:type="dxa"/>
            <w:tcBorders>
              <w:bottom w:val="single" w:sz="24" w:space="0" w:color="auto"/>
            </w:tcBorders>
            <w:vAlign w:val="center"/>
          </w:tcPr>
          <w:p w14:paraId="3A828C7C" w14:textId="06793497" w:rsidR="00D578EA" w:rsidRPr="00240674" w:rsidRDefault="00D578EA" w:rsidP="00D578EA">
            <w:pPr>
              <w:jc w:val="center"/>
              <w:rPr>
                <w:b/>
                <w:sz w:val="20"/>
              </w:rPr>
            </w:pPr>
            <w:r w:rsidRPr="00240674">
              <w:rPr>
                <w:b/>
                <w:sz w:val="20"/>
              </w:rPr>
              <w:t>Player</w:t>
            </w:r>
          </w:p>
        </w:tc>
        <w:tc>
          <w:tcPr>
            <w:tcW w:w="1135" w:type="dxa"/>
            <w:tcBorders>
              <w:bottom w:val="single" w:sz="24" w:space="0" w:color="auto"/>
            </w:tcBorders>
            <w:shd w:val="clear" w:color="auto" w:fill="FFFF00"/>
            <w:vAlign w:val="center"/>
          </w:tcPr>
          <w:p w14:paraId="3D543B00" w14:textId="04ED3DDA" w:rsidR="00D578EA" w:rsidRPr="00240674" w:rsidRDefault="00D578EA" w:rsidP="00D578EA">
            <w:pPr>
              <w:jc w:val="center"/>
              <w:rPr>
                <w:b/>
                <w:sz w:val="20"/>
              </w:rPr>
            </w:pPr>
            <w:r w:rsidRPr="00240674">
              <w:rPr>
                <w:b/>
                <w:sz w:val="20"/>
              </w:rPr>
              <w:t>MVP probability</w:t>
            </w:r>
          </w:p>
        </w:tc>
        <w:tc>
          <w:tcPr>
            <w:tcW w:w="1169" w:type="dxa"/>
            <w:tcBorders>
              <w:bottom w:val="single" w:sz="24" w:space="0" w:color="auto"/>
            </w:tcBorders>
            <w:vAlign w:val="center"/>
          </w:tcPr>
          <w:p w14:paraId="6368538D" w14:textId="35270106" w:rsidR="00D578EA" w:rsidRPr="00240674" w:rsidRDefault="00D578EA" w:rsidP="00D578EA">
            <w:pPr>
              <w:jc w:val="center"/>
              <w:rPr>
                <w:b/>
                <w:sz w:val="20"/>
              </w:rPr>
            </w:pPr>
            <w:r w:rsidRPr="00240674">
              <w:rPr>
                <w:b/>
                <w:sz w:val="20"/>
              </w:rPr>
              <w:t>Offense win shares</w:t>
            </w:r>
          </w:p>
        </w:tc>
        <w:tc>
          <w:tcPr>
            <w:tcW w:w="1170" w:type="dxa"/>
            <w:tcBorders>
              <w:bottom w:val="single" w:sz="24" w:space="0" w:color="auto"/>
            </w:tcBorders>
            <w:vAlign w:val="center"/>
          </w:tcPr>
          <w:p w14:paraId="345A3F49" w14:textId="59A2ADEA" w:rsidR="00D578EA" w:rsidRPr="00240674" w:rsidRDefault="00D578EA" w:rsidP="00D578EA">
            <w:pPr>
              <w:jc w:val="center"/>
              <w:rPr>
                <w:b/>
                <w:sz w:val="20"/>
              </w:rPr>
            </w:pPr>
            <w:r w:rsidRPr="00240674">
              <w:rPr>
                <w:b/>
                <w:sz w:val="20"/>
              </w:rPr>
              <w:t>Defense win shares</w:t>
            </w:r>
          </w:p>
        </w:tc>
        <w:tc>
          <w:tcPr>
            <w:tcW w:w="1175" w:type="dxa"/>
            <w:tcBorders>
              <w:bottom w:val="single" w:sz="24" w:space="0" w:color="auto"/>
            </w:tcBorders>
          </w:tcPr>
          <w:p w14:paraId="00DFA6BE" w14:textId="483E79A0" w:rsidR="00D578EA" w:rsidRPr="00240674" w:rsidRDefault="00D578EA" w:rsidP="00D578EA">
            <w:pPr>
              <w:jc w:val="center"/>
              <w:rPr>
                <w:b/>
                <w:sz w:val="20"/>
              </w:rPr>
            </w:pPr>
            <w:r w:rsidRPr="00240674">
              <w:rPr>
                <w:b/>
                <w:sz w:val="20"/>
              </w:rPr>
              <w:t xml:space="preserve">Total </w:t>
            </w:r>
            <w:r w:rsidRPr="00240674">
              <w:rPr>
                <w:b/>
                <w:sz w:val="20"/>
              </w:rPr>
              <w:br/>
              <w:t>win shares</w:t>
            </w:r>
          </w:p>
        </w:tc>
        <w:tc>
          <w:tcPr>
            <w:tcW w:w="1440" w:type="dxa"/>
            <w:tcBorders>
              <w:bottom w:val="single" w:sz="24" w:space="0" w:color="auto"/>
            </w:tcBorders>
            <w:vAlign w:val="center"/>
          </w:tcPr>
          <w:p w14:paraId="053A9F0D" w14:textId="50B668CF" w:rsidR="00D578EA" w:rsidRPr="00240674" w:rsidRDefault="00D578EA" w:rsidP="00D578EA">
            <w:pPr>
              <w:jc w:val="center"/>
              <w:rPr>
                <w:b/>
                <w:sz w:val="20"/>
              </w:rPr>
            </w:pPr>
            <w:r w:rsidRPr="00240674">
              <w:rPr>
                <w:b/>
                <w:sz w:val="20"/>
              </w:rPr>
              <w:t>WS% derived from offense</w:t>
            </w:r>
          </w:p>
        </w:tc>
      </w:tr>
      <w:tr w:rsidR="00D578EA" w:rsidRPr="00D578EA" w14:paraId="4C8DC5CA" w14:textId="77777777" w:rsidTr="00240674">
        <w:trPr>
          <w:jc w:val="center"/>
        </w:trPr>
        <w:tc>
          <w:tcPr>
            <w:tcW w:w="1741" w:type="dxa"/>
            <w:tcBorders>
              <w:top w:val="single" w:sz="24" w:space="0" w:color="auto"/>
            </w:tcBorders>
          </w:tcPr>
          <w:p w14:paraId="1FFE94FE" w14:textId="6175F064" w:rsidR="00D578EA" w:rsidRPr="00D578EA" w:rsidRDefault="00D578EA" w:rsidP="008C299A">
            <w:pPr>
              <w:rPr>
                <w:sz w:val="20"/>
              </w:rPr>
            </w:pPr>
            <w:r w:rsidRPr="00D578EA">
              <w:rPr>
                <w:sz w:val="20"/>
              </w:rPr>
              <w:t>James Harden</w:t>
            </w:r>
          </w:p>
        </w:tc>
        <w:tc>
          <w:tcPr>
            <w:tcW w:w="1135" w:type="dxa"/>
            <w:tcBorders>
              <w:top w:val="single" w:sz="24" w:space="0" w:color="auto"/>
            </w:tcBorders>
            <w:shd w:val="clear" w:color="auto" w:fill="FFFF00"/>
          </w:tcPr>
          <w:p w14:paraId="04A6A7AC" w14:textId="0FA5992F" w:rsidR="00D578EA" w:rsidRPr="00D578EA" w:rsidRDefault="00D578EA" w:rsidP="00D578EA">
            <w:pPr>
              <w:jc w:val="center"/>
              <w:rPr>
                <w:sz w:val="20"/>
              </w:rPr>
            </w:pPr>
            <w:r>
              <w:rPr>
                <w:sz w:val="20"/>
              </w:rPr>
              <w:t>40.1%</w:t>
            </w:r>
          </w:p>
        </w:tc>
        <w:tc>
          <w:tcPr>
            <w:tcW w:w="1169" w:type="dxa"/>
            <w:tcBorders>
              <w:top w:val="single" w:sz="24" w:space="0" w:color="auto"/>
            </w:tcBorders>
          </w:tcPr>
          <w:p w14:paraId="087B2B55" w14:textId="230ACF27" w:rsidR="00D578EA" w:rsidRPr="00D578EA" w:rsidRDefault="00D578EA" w:rsidP="00D578EA">
            <w:pPr>
              <w:jc w:val="center"/>
              <w:rPr>
                <w:sz w:val="20"/>
              </w:rPr>
            </w:pPr>
            <w:r>
              <w:rPr>
                <w:sz w:val="20"/>
              </w:rPr>
              <w:t>8.6</w:t>
            </w:r>
          </w:p>
        </w:tc>
        <w:tc>
          <w:tcPr>
            <w:tcW w:w="1170" w:type="dxa"/>
            <w:tcBorders>
              <w:top w:val="single" w:sz="24" w:space="0" w:color="auto"/>
            </w:tcBorders>
          </w:tcPr>
          <w:p w14:paraId="783A180B" w14:textId="617B2256" w:rsidR="00D578EA" w:rsidRPr="00D578EA" w:rsidRDefault="00D578EA" w:rsidP="00D578EA">
            <w:pPr>
              <w:jc w:val="center"/>
              <w:rPr>
                <w:sz w:val="20"/>
              </w:rPr>
            </w:pPr>
            <w:r>
              <w:rPr>
                <w:sz w:val="20"/>
              </w:rPr>
              <w:t>2.8</w:t>
            </w:r>
          </w:p>
        </w:tc>
        <w:tc>
          <w:tcPr>
            <w:tcW w:w="1175" w:type="dxa"/>
            <w:tcBorders>
              <w:top w:val="single" w:sz="24" w:space="0" w:color="auto"/>
            </w:tcBorders>
          </w:tcPr>
          <w:p w14:paraId="3D1D6E2A" w14:textId="3A21449A" w:rsidR="00D578EA" w:rsidRDefault="00D578EA" w:rsidP="00D578EA">
            <w:pPr>
              <w:jc w:val="center"/>
              <w:rPr>
                <w:sz w:val="20"/>
              </w:rPr>
            </w:pPr>
            <w:r>
              <w:rPr>
                <w:sz w:val="20"/>
              </w:rPr>
              <w:t>11.4</w:t>
            </w:r>
          </w:p>
        </w:tc>
        <w:tc>
          <w:tcPr>
            <w:tcW w:w="1440" w:type="dxa"/>
            <w:tcBorders>
              <w:top w:val="single" w:sz="24" w:space="0" w:color="auto"/>
            </w:tcBorders>
            <w:shd w:val="clear" w:color="auto" w:fill="BDD6EE" w:themeFill="accent1" w:themeFillTint="66"/>
          </w:tcPr>
          <w:p w14:paraId="67B958BA" w14:textId="1F0C7CD3" w:rsidR="00D578EA" w:rsidRPr="00D578EA" w:rsidRDefault="00D578EA" w:rsidP="00D578EA">
            <w:pPr>
              <w:jc w:val="center"/>
              <w:rPr>
                <w:sz w:val="20"/>
              </w:rPr>
            </w:pPr>
            <w:r>
              <w:rPr>
                <w:sz w:val="20"/>
              </w:rPr>
              <w:t>75.4%</w:t>
            </w:r>
          </w:p>
        </w:tc>
      </w:tr>
      <w:tr w:rsidR="00D578EA" w:rsidRPr="00D578EA" w14:paraId="66B425B6" w14:textId="77777777" w:rsidTr="00240674">
        <w:trPr>
          <w:jc w:val="center"/>
        </w:trPr>
        <w:tc>
          <w:tcPr>
            <w:tcW w:w="1741" w:type="dxa"/>
          </w:tcPr>
          <w:p w14:paraId="75E9B7A3" w14:textId="74834189" w:rsidR="00D578EA" w:rsidRPr="00D578EA" w:rsidRDefault="00D578EA" w:rsidP="008C299A">
            <w:pPr>
              <w:rPr>
                <w:sz w:val="20"/>
              </w:rPr>
            </w:pPr>
            <w:r w:rsidRPr="00D578EA">
              <w:rPr>
                <w:sz w:val="20"/>
              </w:rPr>
              <w:t>Kevin Durant</w:t>
            </w:r>
          </w:p>
        </w:tc>
        <w:tc>
          <w:tcPr>
            <w:tcW w:w="1135" w:type="dxa"/>
            <w:shd w:val="clear" w:color="auto" w:fill="FFFF00"/>
          </w:tcPr>
          <w:p w14:paraId="2236DF94" w14:textId="05C4FA46" w:rsidR="00D578EA" w:rsidRPr="00D578EA" w:rsidRDefault="00D578EA" w:rsidP="00D578EA">
            <w:pPr>
              <w:jc w:val="center"/>
              <w:rPr>
                <w:sz w:val="20"/>
              </w:rPr>
            </w:pPr>
            <w:r>
              <w:rPr>
                <w:sz w:val="20"/>
              </w:rPr>
              <w:t>24.9%</w:t>
            </w:r>
          </w:p>
        </w:tc>
        <w:tc>
          <w:tcPr>
            <w:tcW w:w="1169" w:type="dxa"/>
          </w:tcPr>
          <w:p w14:paraId="2E2BF1E1" w14:textId="0BFBEA4B" w:rsidR="00D578EA" w:rsidRPr="00D578EA" w:rsidRDefault="00D578EA" w:rsidP="00D578EA">
            <w:pPr>
              <w:jc w:val="center"/>
              <w:rPr>
                <w:sz w:val="20"/>
              </w:rPr>
            </w:pPr>
            <w:r>
              <w:rPr>
                <w:sz w:val="20"/>
              </w:rPr>
              <w:t>7.7</w:t>
            </w:r>
          </w:p>
        </w:tc>
        <w:tc>
          <w:tcPr>
            <w:tcW w:w="1170" w:type="dxa"/>
          </w:tcPr>
          <w:p w14:paraId="66EB18A8" w14:textId="7958D6CE" w:rsidR="00D578EA" w:rsidRPr="00D578EA" w:rsidRDefault="00D578EA" w:rsidP="00D578EA">
            <w:pPr>
              <w:jc w:val="center"/>
              <w:rPr>
                <w:sz w:val="20"/>
              </w:rPr>
            </w:pPr>
            <w:r>
              <w:rPr>
                <w:sz w:val="20"/>
              </w:rPr>
              <w:t>3.7</w:t>
            </w:r>
          </w:p>
        </w:tc>
        <w:tc>
          <w:tcPr>
            <w:tcW w:w="1175" w:type="dxa"/>
          </w:tcPr>
          <w:p w14:paraId="10969280" w14:textId="5B55B712" w:rsidR="00D578EA" w:rsidRPr="00D578EA" w:rsidRDefault="00D578EA" w:rsidP="00D578EA">
            <w:pPr>
              <w:jc w:val="center"/>
              <w:rPr>
                <w:sz w:val="20"/>
              </w:rPr>
            </w:pPr>
            <w:r>
              <w:rPr>
                <w:sz w:val="20"/>
              </w:rPr>
              <w:t>11.4</w:t>
            </w:r>
          </w:p>
        </w:tc>
        <w:tc>
          <w:tcPr>
            <w:tcW w:w="1440" w:type="dxa"/>
            <w:shd w:val="clear" w:color="auto" w:fill="DEEAF6" w:themeFill="accent1" w:themeFillTint="33"/>
          </w:tcPr>
          <w:p w14:paraId="641DCFA7" w14:textId="5715419E" w:rsidR="00D578EA" w:rsidRPr="00D578EA" w:rsidRDefault="00D578EA" w:rsidP="00D578EA">
            <w:pPr>
              <w:jc w:val="center"/>
              <w:rPr>
                <w:sz w:val="20"/>
              </w:rPr>
            </w:pPr>
            <w:r>
              <w:rPr>
                <w:sz w:val="20"/>
              </w:rPr>
              <w:t>67.5%</w:t>
            </w:r>
          </w:p>
        </w:tc>
      </w:tr>
      <w:tr w:rsidR="00D578EA" w:rsidRPr="00D578EA" w14:paraId="127EF57A" w14:textId="77777777" w:rsidTr="00240674">
        <w:trPr>
          <w:jc w:val="center"/>
        </w:trPr>
        <w:tc>
          <w:tcPr>
            <w:tcW w:w="1741" w:type="dxa"/>
          </w:tcPr>
          <w:p w14:paraId="2817B479" w14:textId="0D69FE8F" w:rsidR="00D578EA" w:rsidRPr="00D578EA" w:rsidRDefault="00D578EA" w:rsidP="008C299A">
            <w:pPr>
              <w:rPr>
                <w:sz w:val="20"/>
              </w:rPr>
            </w:pPr>
            <w:r w:rsidRPr="00D578EA">
              <w:rPr>
                <w:sz w:val="20"/>
              </w:rPr>
              <w:t>LeBron James</w:t>
            </w:r>
          </w:p>
        </w:tc>
        <w:tc>
          <w:tcPr>
            <w:tcW w:w="1135" w:type="dxa"/>
            <w:shd w:val="clear" w:color="auto" w:fill="FFFF00"/>
          </w:tcPr>
          <w:p w14:paraId="30735B60" w14:textId="112C6FCC" w:rsidR="00D578EA" w:rsidRPr="00D578EA" w:rsidRDefault="00D578EA" w:rsidP="00D578EA">
            <w:pPr>
              <w:jc w:val="center"/>
              <w:rPr>
                <w:sz w:val="20"/>
              </w:rPr>
            </w:pPr>
            <w:r>
              <w:rPr>
                <w:sz w:val="20"/>
              </w:rPr>
              <w:t>10.9%</w:t>
            </w:r>
          </w:p>
        </w:tc>
        <w:tc>
          <w:tcPr>
            <w:tcW w:w="1169" w:type="dxa"/>
          </w:tcPr>
          <w:p w14:paraId="54854E69" w14:textId="5E63E353" w:rsidR="00D578EA" w:rsidRPr="00D578EA" w:rsidRDefault="00D578EA" w:rsidP="00D578EA">
            <w:pPr>
              <w:jc w:val="center"/>
              <w:rPr>
                <w:sz w:val="20"/>
              </w:rPr>
            </w:pPr>
            <w:r>
              <w:rPr>
                <w:sz w:val="20"/>
              </w:rPr>
              <w:t>6.7</w:t>
            </w:r>
          </w:p>
        </w:tc>
        <w:tc>
          <w:tcPr>
            <w:tcW w:w="1170" w:type="dxa"/>
          </w:tcPr>
          <w:p w14:paraId="191DF880" w14:textId="78C52CE6" w:rsidR="00D578EA" w:rsidRPr="00D578EA" w:rsidRDefault="00D578EA" w:rsidP="00D578EA">
            <w:pPr>
              <w:jc w:val="center"/>
              <w:rPr>
                <w:sz w:val="20"/>
              </w:rPr>
            </w:pPr>
            <w:r>
              <w:rPr>
                <w:sz w:val="20"/>
              </w:rPr>
              <w:t>2.4</w:t>
            </w:r>
          </w:p>
        </w:tc>
        <w:tc>
          <w:tcPr>
            <w:tcW w:w="1175" w:type="dxa"/>
          </w:tcPr>
          <w:p w14:paraId="506059C8" w14:textId="5E94EBDE" w:rsidR="00D578EA" w:rsidRPr="00D578EA" w:rsidRDefault="00D578EA" w:rsidP="00D578EA">
            <w:pPr>
              <w:jc w:val="center"/>
              <w:rPr>
                <w:sz w:val="20"/>
              </w:rPr>
            </w:pPr>
            <w:r>
              <w:rPr>
                <w:sz w:val="20"/>
              </w:rPr>
              <w:t>9.1</w:t>
            </w:r>
          </w:p>
        </w:tc>
        <w:tc>
          <w:tcPr>
            <w:tcW w:w="1440" w:type="dxa"/>
            <w:shd w:val="clear" w:color="auto" w:fill="BDD6EE" w:themeFill="accent1" w:themeFillTint="66"/>
          </w:tcPr>
          <w:p w14:paraId="2DD2FE9F" w14:textId="138BE0A0" w:rsidR="00D578EA" w:rsidRPr="00D578EA" w:rsidRDefault="00D578EA" w:rsidP="00D578EA">
            <w:pPr>
              <w:jc w:val="center"/>
              <w:rPr>
                <w:sz w:val="20"/>
              </w:rPr>
            </w:pPr>
            <w:r>
              <w:rPr>
                <w:sz w:val="20"/>
              </w:rPr>
              <w:t>73.6%</w:t>
            </w:r>
          </w:p>
        </w:tc>
      </w:tr>
      <w:tr w:rsidR="00D578EA" w:rsidRPr="00D578EA" w14:paraId="6C2EB625" w14:textId="77777777" w:rsidTr="00240674">
        <w:trPr>
          <w:jc w:val="center"/>
        </w:trPr>
        <w:tc>
          <w:tcPr>
            <w:tcW w:w="1741" w:type="dxa"/>
          </w:tcPr>
          <w:p w14:paraId="2B9C0963" w14:textId="205EE17F" w:rsidR="00D578EA" w:rsidRPr="00D578EA" w:rsidRDefault="00D578EA" w:rsidP="008C299A">
            <w:pPr>
              <w:rPr>
                <w:sz w:val="20"/>
              </w:rPr>
            </w:pPr>
            <w:r w:rsidRPr="00D578EA">
              <w:rPr>
                <w:sz w:val="20"/>
              </w:rPr>
              <w:t>Russell Westbrook</w:t>
            </w:r>
          </w:p>
        </w:tc>
        <w:tc>
          <w:tcPr>
            <w:tcW w:w="1135" w:type="dxa"/>
            <w:shd w:val="clear" w:color="auto" w:fill="FFFF00"/>
          </w:tcPr>
          <w:p w14:paraId="1C20DA0F" w14:textId="57420E7C" w:rsidR="00D578EA" w:rsidRPr="00D578EA" w:rsidRDefault="00D578EA" w:rsidP="00D578EA">
            <w:pPr>
              <w:jc w:val="center"/>
              <w:rPr>
                <w:sz w:val="20"/>
              </w:rPr>
            </w:pPr>
            <w:r>
              <w:rPr>
                <w:sz w:val="20"/>
              </w:rPr>
              <w:t>6.2%</w:t>
            </w:r>
          </w:p>
        </w:tc>
        <w:tc>
          <w:tcPr>
            <w:tcW w:w="1169" w:type="dxa"/>
          </w:tcPr>
          <w:p w14:paraId="335A22AE" w14:textId="3781AA82" w:rsidR="00D578EA" w:rsidRPr="00D578EA" w:rsidRDefault="00D578EA" w:rsidP="00D578EA">
            <w:pPr>
              <w:jc w:val="center"/>
              <w:rPr>
                <w:sz w:val="20"/>
              </w:rPr>
            </w:pPr>
            <w:r>
              <w:rPr>
                <w:sz w:val="20"/>
              </w:rPr>
              <w:t>5.0</w:t>
            </w:r>
          </w:p>
        </w:tc>
        <w:tc>
          <w:tcPr>
            <w:tcW w:w="1170" w:type="dxa"/>
          </w:tcPr>
          <w:p w14:paraId="23F12DA7" w14:textId="6D927D34" w:rsidR="00D578EA" w:rsidRPr="00D578EA" w:rsidRDefault="00D578EA" w:rsidP="00D578EA">
            <w:pPr>
              <w:jc w:val="center"/>
              <w:rPr>
                <w:sz w:val="20"/>
              </w:rPr>
            </w:pPr>
            <w:r>
              <w:rPr>
                <w:sz w:val="20"/>
              </w:rPr>
              <w:t>3.3</w:t>
            </w:r>
          </w:p>
        </w:tc>
        <w:tc>
          <w:tcPr>
            <w:tcW w:w="1175" w:type="dxa"/>
          </w:tcPr>
          <w:p w14:paraId="7CAA5CF9" w14:textId="67855174" w:rsidR="00D578EA" w:rsidRPr="00D578EA" w:rsidRDefault="00D578EA" w:rsidP="00D578EA">
            <w:pPr>
              <w:jc w:val="center"/>
              <w:rPr>
                <w:sz w:val="20"/>
              </w:rPr>
            </w:pPr>
            <w:r>
              <w:rPr>
                <w:sz w:val="20"/>
              </w:rPr>
              <w:t>8.3</w:t>
            </w:r>
          </w:p>
        </w:tc>
        <w:tc>
          <w:tcPr>
            <w:tcW w:w="1440" w:type="dxa"/>
            <w:shd w:val="clear" w:color="auto" w:fill="DEEAF6" w:themeFill="accent1" w:themeFillTint="33"/>
          </w:tcPr>
          <w:p w14:paraId="76711B3C" w14:textId="3EBA6DC2" w:rsidR="00D578EA" w:rsidRPr="00D578EA" w:rsidRDefault="00D578EA" w:rsidP="00D578EA">
            <w:pPr>
              <w:jc w:val="center"/>
              <w:rPr>
                <w:sz w:val="20"/>
              </w:rPr>
            </w:pPr>
            <w:r>
              <w:rPr>
                <w:sz w:val="20"/>
              </w:rPr>
              <w:t>60.2%</w:t>
            </w:r>
          </w:p>
        </w:tc>
      </w:tr>
      <w:tr w:rsidR="00D578EA" w:rsidRPr="00D578EA" w14:paraId="37A97B52" w14:textId="77777777" w:rsidTr="00240674">
        <w:trPr>
          <w:jc w:val="center"/>
        </w:trPr>
        <w:tc>
          <w:tcPr>
            <w:tcW w:w="1741" w:type="dxa"/>
          </w:tcPr>
          <w:p w14:paraId="570E9244" w14:textId="6286F4C0" w:rsidR="00D578EA" w:rsidRPr="00D578EA" w:rsidRDefault="00D578EA" w:rsidP="008C299A">
            <w:pPr>
              <w:rPr>
                <w:sz w:val="20"/>
              </w:rPr>
            </w:pPr>
            <w:r w:rsidRPr="00D578EA">
              <w:rPr>
                <w:sz w:val="20"/>
              </w:rPr>
              <w:t>Stephen Curry</w:t>
            </w:r>
          </w:p>
        </w:tc>
        <w:tc>
          <w:tcPr>
            <w:tcW w:w="1135" w:type="dxa"/>
            <w:shd w:val="clear" w:color="auto" w:fill="FFFF00"/>
          </w:tcPr>
          <w:p w14:paraId="650E1909" w14:textId="7262B7EB" w:rsidR="00D578EA" w:rsidRPr="00D578EA" w:rsidRDefault="00D578EA" w:rsidP="00D578EA">
            <w:pPr>
              <w:jc w:val="center"/>
              <w:rPr>
                <w:sz w:val="20"/>
              </w:rPr>
            </w:pPr>
            <w:r>
              <w:rPr>
                <w:sz w:val="20"/>
              </w:rPr>
              <w:t>6.2%</w:t>
            </w:r>
          </w:p>
        </w:tc>
        <w:tc>
          <w:tcPr>
            <w:tcW w:w="1169" w:type="dxa"/>
          </w:tcPr>
          <w:p w14:paraId="68E36268" w14:textId="4876EE83" w:rsidR="00D578EA" w:rsidRPr="00D578EA" w:rsidRDefault="00240674" w:rsidP="00D578EA">
            <w:pPr>
              <w:jc w:val="center"/>
              <w:rPr>
                <w:sz w:val="20"/>
              </w:rPr>
            </w:pPr>
            <w:r>
              <w:rPr>
                <w:sz w:val="20"/>
              </w:rPr>
              <w:t>6.3</w:t>
            </w:r>
          </w:p>
        </w:tc>
        <w:tc>
          <w:tcPr>
            <w:tcW w:w="1170" w:type="dxa"/>
          </w:tcPr>
          <w:p w14:paraId="76431E73" w14:textId="0861857D" w:rsidR="00D578EA" w:rsidRPr="00D578EA" w:rsidRDefault="00240674" w:rsidP="00D578EA">
            <w:pPr>
              <w:jc w:val="center"/>
              <w:rPr>
                <w:sz w:val="20"/>
              </w:rPr>
            </w:pPr>
            <w:r>
              <w:rPr>
                <w:sz w:val="20"/>
              </w:rPr>
              <w:t>2.6</w:t>
            </w:r>
          </w:p>
        </w:tc>
        <w:tc>
          <w:tcPr>
            <w:tcW w:w="1175" w:type="dxa"/>
          </w:tcPr>
          <w:p w14:paraId="3F6BB79C" w14:textId="3C86404F" w:rsidR="00D578EA" w:rsidRPr="00D578EA" w:rsidRDefault="00240674" w:rsidP="00D578EA">
            <w:pPr>
              <w:jc w:val="center"/>
              <w:rPr>
                <w:sz w:val="20"/>
              </w:rPr>
            </w:pPr>
            <w:r>
              <w:rPr>
                <w:sz w:val="20"/>
              </w:rPr>
              <w:t>8.9</w:t>
            </w:r>
          </w:p>
        </w:tc>
        <w:tc>
          <w:tcPr>
            <w:tcW w:w="1440" w:type="dxa"/>
            <w:shd w:val="clear" w:color="auto" w:fill="BDD6EE" w:themeFill="accent1" w:themeFillTint="66"/>
          </w:tcPr>
          <w:p w14:paraId="07F4067C" w14:textId="3161188F" w:rsidR="00D578EA" w:rsidRPr="00D578EA" w:rsidRDefault="00240674" w:rsidP="00D578EA">
            <w:pPr>
              <w:jc w:val="center"/>
              <w:rPr>
                <w:sz w:val="20"/>
              </w:rPr>
            </w:pPr>
            <w:r>
              <w:rPr>
                <w:sz w:val="20"/>
              </w:rPr>
              <w:t>70.8%</w:t>
            </w:r>
          </w:p>
        </w:tc>
      </w:tr>
      <w:tr w:rsidR="00D578EA" w:rsidRPr="00D578EA" w14:paraId="6FC6D56B" w14:textId="77777777" w:rsidTr="00240674">
        <w:trPr>
          <w:jc w:val="center"/>
        </w:trPr>
        <w:tc>
          <w:tcPr>
            <w:tcW w:w="1741" w:type="dxa"/>
          </w:tcPr>
          <w:p w14:paraId="7BECBC12" w14:textId="6B3BE951" w:rsidR="00D578EA" w:rsidRPr="00D578EA" w:rsidRDefault="00D578EA" w:rsidP="008C299A">
            <w:pPr>
              <w:rPr>
                <w:sz w:val="20"/>
              </w:rPr>
            </w:pPr>
            <w:r>
              <w:rPr>
                <w:sz w:val="20"/>
              </w:rPr>
              <w:t>Kawhi Leonard</w:t>
            </w:r>
          </w:p>
        </w:tc>
        <w:tc>
          <w:tcPr>
            <w:tcW w:w="1135" w:type="dxa"/>
            <w:shd w:val="clear" w:color="auto" w:fill="FFFF00"/>
          </w:tcPr>
          <w:p w14:paraId="43F80316" w14:textId="1ED45F0E" w:rsidR="00D578EA" w:rsidRPr="00D578EA" w:rsidRDefault="00D578EA" w:rsidP="00D578EA">
            <w:pPr>
              <w:jc w:val="center"/>
              <w:rPr>
                <w:sz w:val="20"/>
              </w:rPr>
            </w:pPr>
            <w:r>
              <w:rPr>
                <w:sz w:val="20"/>
              </w:rPr>
              <w:t>5.8%</w:t>
            </w:r>
          </w:p>
        </w:tc>
        <w:tc>
          <w:tcPr>
            <w:tcW w:w="1169" w:type="dxa"/>
          </w:tcPr>
          <w:p w14:paraId="1C9B4946" w14:textId="3410265E" w:rsidR="00D578EA" w:rsidRPr="00D578EA" w:rsidRDefault="00240674" w:rsidP="00D578EA">
            <w:pPr>
              <w:jc w:val="center"/>
              <w:rPr>
                <w:sz w:val="20"/>
              </w:rPr>
            </w:pPr>
            <w:r>
              <w:rPr>
                <w:sz w:val="20"/>
              </w:rPr>
              <w:t>6.6</w:t>
            </w:r>
          </w:p>
        </w:tc>
        <w:tc>
          <w:tcPr>
            <w:tcW w:w="1170" w:type="dxa"/>
          </w:tcPr>
          <w:p w14:paraId="0C56B396" w14:textId="23265D71" w:rsidR="00D578EA" w:rsidRPr="00D578EA" w:rsidRDefault="00240674" w:rsidP="00D578EA">
            <w:pPr>
              <w:jc w:val="center"/>
              <w:rPr>
                <w:sz w:val="20"/>
              </w:rPr>
            </w:pPr>
            <w:r>
              <w:rPr>
                <w:sz w:val="20"/>
              </w:rPr>
              <w:t>3.2</w:t>
            </w:r>
          </w:p>
        </w:tc>
        <w:tc>
          <w:tcPr>
            <w:tcW w:w="1175" w:type="dxa"/>
          </w:tcPr>
          <w:p w14:paraId="2FEFB2A8" w14:textId="5F38325C" w:rsidR="00D578EA" w:rsidRPr="00D578EA" w:rsidRDefault="00240674" w:rsidP="00D578EA">
            <w:pPr>
              <w:jc w:val="center"/>
              <w:rPr>
                <w:sz w:val="20"/>
              </w:rPr>
            </w:pPr>
            <w:r>
              <w:rPr>
                <w:sz w:val="20"/>
              </w:rPr>
              <w:t>9.8</w:t>
            </w:r>
          </w:p>
        </w:tc>
        <w:tc>
          <w:tcPr>
            <w:tcW w:w="1440" w:type="dxa"/>
            <w:shd w:val="clear" w:color="auto" w:fill="DEEAF6" w:themeFill="accent1" w:themeFillTint="33"/>
          </w:tcPr>
          <w:p w14:paraId="75343AF6" w14:textId="4725F44F" w:rsidR="00D578EA" w:rsidRPr="00D578EA" w:rsidRDefault="00240674" w:rsidP="00D578EA">
            <w:pPr>
              <w:jc w:val="center"/>
              <w:rPr>
                <w:sz w:val="20"/>
              </w:rPr>
            </w:pPr>
            <w:r>
              <w:rPr>
                <w:sz w:val="20"/>
              </w:rPr>
              <w:t>67.3%</w:t>
            </w:r>
          </w:p>
        </w:tc>
      </w:tr>
      <w:tr w:rsidR="00D578EA" w:rsidRPr="00D578EA" w14:paraId="53E474C7" w14:textId="77777777" w:rsidTr="00240674">
        <w:trPr>
          <w:jc w:val="center"/>
        </w:trPr>
        <w:tc>
          <w:tcPr>
            <w:tcW w:w="1741" w:type="dxa"/>
          </w:tcPr>
          <w:p w14:paraId="39F652FF" w14:textId="5184391A" w:rsidR="00D578EA" w:rsidRPr="00D578EA" w:rsidRDefault="00D578EA" w:rsidP="008C299A">
            <w:pPr>
              <w:rPr>
                <w:sz w:val="20"/>
              </w:rPr>
            </w:pPr>
            <w:r>
              <w:rPr>
                <w:sz w:val="20"/>
              </w:rPr>
              <w:t>Isaiah Thomas</w:t>
            </w:r>
          </w:p>
        </w:tc>
        <w:tc>
          <w:tcPr>
            <w:tcW w:w="1135" w:type="dxa"/>
            <w:shd w:val="clear" w:color="auto" w:fill="FFFF00"/>
          </w:tcPr>
          <w:p w14:paraId="39DAD47B" w14:textId="169A7602" w:rsidR="00D578EA" w:rsidRPr="00D578EA" w:rsidRDefault="00D578EA" w:rsidP="00D578EA">
            <w:pPr>
              <w:jc w:val="center"/>
              <w:rPr>
                <w:sz w:val="20"/>
              </w:rPr>
            </w:pPr>
            <w:r>
              <w:rPr>
                <w:sz w:val="20"/>
              </w:rPr>
              <w:t>2.6%</w:t>
            </w:r>
          </w:p>
        </w:tc>
        <w:tc>
          <w:tcPr>
            <w:tcW w:w="1169" w:type="dxa"/>
          </w:tcPr>
          <w:p w14:paraId="1B165657" w14:textId="3E448B0C" w:rsidR="00D578EA" w:rsidRPr="00D578EA" w:rsidRDefault="00240674" w:rsidP="00D578EA">
            <w:pPr>
              <w:jc w:val="center"/>
              <w:rPr>
                <w:sz w:val="20"/>
              </w:rPr>
            </w:pPr>
            <w:r>
              <w:rPr>
                <w:sz w:val="20"/>
              </w:rPr>
              <w:t>8.7</w:t>
            </w:r>
          </w:p>
        </w:tc>
        <w:tc>
          <w:tcPr>
            <w:tcW w:w="1170" w:type="dxa"/>
          </w:tcPr>
          <w:p w14:paraId="42FB1169" w14:textId="73C6BA54" w:rsidR="00D578EA" w:rsidRPr="00D578EA" w:rsidRDefault="00240674" w:rsidP="00D578EA">
            <w:pPr>
              <w:jc w:val="center"/>
              <w:rPr>
                <w:sz w:val="20"/>
              </w:rPr>
            </w:pPr>
            <w:r>
              <w:rPr>
                <w:sz w:val="20"/>
              </w:rPr>
              <w:t>0.8</w:t>
            </w:r>
          </w:p>
        </w:tc>
        <w:tc>
          <w:tcPr>
            <w:tcW w:w="1175" w:type="dxa"/>
          </w:tcPr>
          <w:p w14:paraId="00157F83" w14:textId="2633070F" w:rsidR="00D578EA" w:rsidRPr="00D578EA" w:rsidRDefault="00240674" w:rsidP="00D578EA">
            <w:pPr>
              <w:jc w:val="center"/>
              <w:rPr>
                <w:sz w:val="20"/>
              </w:rPr>
            </w:pPr>
            <w:r>
              <w:rPr>
                <w:sz w:val="20"/>
              </w:rPr>
              <w:t>9.5</w:t>
            </w:r>
          </w:p>
        </w:tc>
        <w:tc>
          <w:tcPr>
            <w:tcW w:w="1440" w:type="dxa"/>
            <w:shd w:val="clear" w:color="auto" w:fill="2E74B5" w:themeFill="accent1" w:themeFillShade="BF"/>
          </w:tcPr>
          <w:p w14:paraId="34D7BFC3" w14:textId="727B911B" w:rsidR="00D578EA" w:rsidRPr="00D578EA" w:rsidRDefault="00240674" w:rsidP="00D578EA">
            <w:pPr>
              <w:jc w:val="center"/>
              <w:rPr>
                <w:sz w:val="20"/>
              </w:rPr>
            </w:pPr>
            <w:r>
              <w:rPr>
                <w:sz w:val="20"/>
              </w:rPr>
              <w:t>91.6%</w:t>
            </w:r>
          </w:p>
        </w:tc>
      </w:tr>
      <w:tr w:rsidR="00D578EA" w:rsidRPr="00D578EA" w14:paraId="0DCDA635" w14:textId="77777777" w:rsidTr="00240674">
        <w:trPr>
          <w:jc w:val="center"/>
        </w:trPr>
        <w:tc>
          <w:tcPr>
            <w:tcW w:w="1741" w:type="dxa"/>
          </w:tcPr>
          <w:p w14:paraId="5A847BBD" w14:textId="2C38FDB5" w:rsidR="00D578EA" w:rsidRPr="00D578EA" w:rsidRDefault="00D578EA" w:rsidP="008C299A">
            <w:pPr>
              <w:rPr>
                <w:sz w:val="20"/>
              </w:rPr>
            </w:pPr>
            <w:r>
              <w:rPr>
                <w:sz w:val="20"/>
              </w:rPr>
              <w:t>Kyle Lowry</w:t>
            </w:r>
          </w:p>
        </w:tc>
        <w:tc>
          <w:tcPr>
            <w:tcW w:w="1135" w:type="dxa"/>
            <w:shd w:val="clear" w:color="auto" w:fill="FFFF00"/>
          </w:tcPr>
          <w:p w14:paraId="278BF786" w14:textId="622590A0" w:rsidR="00D578EA" w:rsidRPr="00D578EA" w:rsidRDefault="00D578EA" w:rsidP="00D578EA">
            <w:pPr>
              <w:jc w:val="center"/>
              <w:rPr>
                <w:sz w:val="20"/>
              </w:rPr>
            </w:pPr>
            <w:r>
              <w:rPr>
                <w:sz w:val="20"/>
              </w:rPr>
              <w:t>1.2%</w:t>
            </w:r>
          </w:p>
        </w:tc>
        <w:tc>
          <w:tcPr>
            <w:tcW w:w="1169" w:type="dxa"/>
          </w:tcPr>
          <w:p w14:paraId="3FA39ECE" w14:textId="1413DC3D" w:rsidR="00D578EA" w:rsidRPr="00D578EA" w:rsidRDefault="00240674" w:rsidP="00D578EA">
            <w:pPr>
              <w:jc w:val="center"/>
              <w:rPr>
                <w:sz w:val="20"/>
              </w:rPr>
            </w:pPr>
            <w:r>
              <w:rPr>
                <w:sz w:val="20"/>
              </w:rPr>
              <w:t>7.7</w:t>
            </w:r>
          </w:p>
        </w:tc>
        <w:tc>
          <w:tcPr>
            <w:tcW w:w="1170" w:type="dxa"/>
          </w:tcPr>
          <w:p w14:paraId="0310177C" w14:textId="6C36E2E4" w:rsidR="00D578EA" w:rsidRPr="00D578EA" w:rsidRDefault="00240674" w:rsidP="00D578EA">
            <w:pPr>
              <w:jc w:val="center"/>
              <w:rPr>
                <w:sz w:val="20"/>
              </w:rPr>
            </w:pPr>
            <w:r>
              <w:rPr>
                <w:sz w:val="20"/>
              </w:rPr>
              <w:t>1.7</w:t>
            </w:r>
          </w:p>
        </w:tc>
        <w:tc>
          <w:tcPr>
            <w:tcW w:w="1175" w:type="dxa"/>
          </w:tcPr>
          <w:p w14:paraId="743DC844" w14:textId="1DC2AEFE" w:rsidR="00D578EA" w:rsidRPr="00D578EA" w:rsidRDefault="00240674" w:rsidP="00D578EA">
            <w:pPr>
              <w:jc w:val="center"/>
              <w:rPr>
                <w:sz w:val="20"/>
              </w:rPr>
            </w:pPr>
            <w:r>
              <w:rPr>
                <w:sz w:val="20"/>
              </w:rPr>
              <w:t>9.4</w:t>
            </w:r>
          </w:p>
        </w:tc>
        <w:tc>
          <w:tcPr>
            <w:tcW w:w="1440" w:type="dxa"/>
            <w:shd w:val="clear" w:color="auto" w:fill="9CC2E5" w:themeFill="accent1" w:themeFillTint="99"/>
          </w:tcPr>
          <w:p w14:paraId="1B61B0F0" w14:textId="2DF864C5" w:rsidR="00D578EA" w:rsidRPr="00D578EA" w:rsidRDefault="00240674" w:rsidP="00D578EA">
            <w:pPr>
              <w:jc w:val="center"/>
              <w:rPr>
                <w:sz w:val="20"/>
              </w:rPr>
            </w:pPr>
            <w:r>
              <w:rPr>
                <w:sz w:val="20"/>
              </w:rPr>
              <w:t>81.9%</w:t>
            </w:r>
          </w:p>
        </w:tc>
      </w:tr>
      <w:tr w:rsidR="00D578EA" w:rsidRPr="00D578EA" w14:paraId="1690D3F3" w14:textId="77777777" w:rsidTr="00240674">
        <w:trPr>
          <w:jc w:val="center"/>
        </w:trPr>
        <w:tc>
          <w:tcPr>
            <w:tcW w:w="1741" w:type="dxa"/>
          </w:tcPr>
          <w:p w14:paraId="1DA6D557" w14:textId="33E3EC10" w:rsidR="00D578EA" w:rsidRPr="00D578EA" w:rsidRDefault="00D578EA" w:rsidP="00EF1BB9">
            <w:pPr>
              <w:rPr>
                <w:sz w:val="20"/>
              </w:rPr>
            </w:pPr>
            <w:r>
              <w:rPr>
                <w:sz w:val="20"/>
              </w:rPr>
              <w:t>John Wall</w:t>
            </w:r>
          </w:p>
        </w:tc>
        <w:tc>
          <w:tcPr>
            <w:tcW w:w="1135" w:type="dxa"/>
            <w:shd w:val="clear" w:color="auto" w:fill="FFFF00"/>
          </w:tcPr>
          <w:p w14:paraId="2453329D" w14:textId="78D56C4A" w:rsidR="00D578EA" w:rsidRPr="00D578EA" w:rsidRDefault="00D578EA" w:rsidP="00D578EA">
            <w:pPr>
              <w:jc w:val="center"/>
              <w:rPr>
                <w:sz w:val="20"/>
              </w:rPr>
            </w:pPr>
            <w:r>
              <w:rPr>
                <w:sz w:val="20"/>
              </w:rPr>
              <w:t>0.8%</w:t>
            </w:r>
          </w:p>
        </w:tc>
        <w:tc>
          <w:tcPr>
            <w:tcW w:w="1169" w:type="dxa"/>
          </w:tcPr>
          <w:p w14:paraId="26C979DE" w14:textId="077287AF" w:rsidR="00D578EA" w:rsidRPr="00D578EA" w:rsidRDefault="00240674" w:rsidP="00D578EA">
            <w:pPr>
              <w:jc w:val="center"/>
              <w:rPr>
                <w:sz w:val="20"/>
              </w:rPr>
            </w:pPr>
            <w:r>
              <w:rPr>
                <w:sz w:val="20"/>
              </w:rPr>
              <w:t>3.8</w:t>
            </w:r>
          </w:p>
        </w:tc>
        <w:tc>
          <w:tcPr>
            <w:tcW w:w="1170" w:type="dxa"/>
          </w:tcPr>
          <w:p w14:paraId="1A550268" w14:textId="328909D1" w:rsidR="00D578EA" w:rsidRPr="00D578EA" w:rsidRDefault="00240674" w:rsidP="00D578EA">
            <w:pPr>
              <w:jc w:val="center"/>
              <w:rPr>
                <w:sz w:val="20"/>
              </w:rPr>
            </w:pPr>
            <w:r>
              <w:rPr>
                <w:sz w:val="20"/>
              </w:rPr>
              <w:t>2.5</w:t>
            </w:r>
          </w:p>
        </w:tc>
        <w:tc>
          <w:tcPr>
            <w:tcW w:w="1175" w:type="dxa"/>
          </w:tcPr>
          <w:p w14:paraId="7D44E9AF" w14:textId="74C45663" w:rsidR="00D578EA" w:rsidRPr="00D578EA" w:rsidRDefault="00240674" w:rsidP="00D578EA">
            <w:pPr>
              <w:jc w:val="center"/>
              <w:rPr>
                <w:sz w:val="20"/>
              </w:rPr>
            </w:pPr>
            <w:r>
              <w:rPr>
                <w:sz w:val="20"/>
              </w:rPr>
              <w:t>6.3</w:t>
            </w:r>
          </w:p>
        </w:tc>
        <w:tc>
          <w:tcPr>
            <w:tcW w:w="1440" w:type="dxa"/>
            <w:shd w:val="clear" w:color="auto" w:fill="DEEAF6" w:themeFill="accent1" w:themeFillTint="33"/>
          </w:tcPr>
          <w:p w14:paraId="4A4A1191" w14:textId="3F4AEE69" w:rsidR="00D578EA" w:rsidRPr="00D578EA" w:rsidRDefault="00240674" w:rsidP="00D578EA">
            <w:pPr>
              <w:jc w:val="center"/>
              <w:rPr>
                <w:sz w:val="20"/>
              </w:rPr>
            </w:pPr>
            <w:r>
              <w:rPr>
                <w:sz w:val="20"/>
              </w:rPr>
              <w:t>60.3%</w:t>
            </w:r>
          </w:p>
        </w:tc>
      </w:tr>
      <w:tr w:rsidR="00D578EA" w:rsidRPr="00D578EA" w14:paraId="7CB5D421" w14:textId="77777777" w:rsidTr="00240674">
        <w:trPr>
          <w:jc w:val="center"/>
        </w:trPr>
        <w:tc>
          <w:tcPr>
            <w:tcW w:w="1741" w:type="dxa"/>
          </w:tcPr>
          <w:p w14:paraId="4D1FD6CF" w14:textId="0A5B288B" w:rsidR="00D578EA" w:rsidRPr="00D578EA" w:rsidRDefault="00D578EA" w:rsidP="00EF1BB9">
            <w:pPr>
              <w:rPr>
                <w:sz w:val="20"/>
              </w:rPr>
            </w:pPr>
            <w:r>
              <w:rPr>
                <w:sz w:val="20"/>
              </w:rPr>
              <w:t>Jimmy Butler</w:t>
            </w:r>
          </w:p>
        </w:tc>
        <w:tc>
          <w:tcPr>
            <w:tcW w:w="1135" w:type="dxa"/>
            <w:shd w:val="clear" w:color="auto" w:fill="FFFF00"/>
          </w:tcPr>
          <w:p w14:paraId="5980B29E" w14:textId="6EBCF9B6" w:rsidR="00D578EA" w:rsidRPr="00D578EA" w:rsidRDefault="00D578EA" w:rsidP="00D578EA">
            <w:pPr>
              <w:jc w:val="center"/>
              <w:rPr>
                <w:sz w:val="20"/>
              </w:rPr>
            </w:pPr>
            <w:r>
              <w:rPr>
                <w:sz w:val="20"/>
              </w:rPr>
              <w:t>0.8%</w:t>
            </w:r>
          </w:p>
        </w:tc>
        <w:tc>
          <w:tcPr>
            <w:tcW w:w="1169" w:type="dxa"/>
          </w:tcPr>
          <w:p w14:paraId="3951350F" w14:textId="529B7F79" w:rsidR="00D578EA" w:rsidRPr="00D578EA" w:rsidRDefault="00240674" w:rsidP="00D578EA">
            <w:pPr>
              <w:jc w:val="center"/>
              <w:rPr>
                <w:sz w:val="20"/>
              </w:rPr>
            </w:pPr>
            <w:r>
              <w:rPr>
                <w:sz w:val="20"/>
              </w:rPr>
              <w:t>7.0</w:t>
            </w:r>
          </w:p>
        </w:tc>
        <w:tc>
          <w:tcPr>
            <w:tcW w:w="1170" w:type="dxa"/>
          </w:tcPr>
          <w:p w14:paraId="7B6D5C3C" w14:textId="2B4A06C0" w:rsidR="00D578EA" w:rsidRPr="00D578EA" w:rsidRDefault="00240674" w:rsidP="00D578EA">
            <w:pPr>
              <w:jc w:val="center"/>
              <w:rPr>
                <w:sz w:val="20"/>
              </w:rPr>
            </w:pPr>
            <w:r>
              <w:rPr>
                <w:sz w:val="20"/>
              </w:rPr>
              <w:t>2.2</w:t>
            </w:r>
          </w:p>
        </w:tc>
        <w:tc>
          <w:tcPr>
            <w:tcW w:w="1175" w:type="dxa"/>
          </w:tcPr>
          <w:p w14:paraId="59CD1A5C" w14:textId="5AEC98AE" w:rsidR="00D578EA" w:rsidRPr="00D578EA" w:rsidRDefault="00240674" w:rsidP="00D578EA">
            <w:pPr>
              <w:jc w:val="center"/>
              <w:rPr>
                <w:sz w:val="20"/>
              </w:rPr>
            </w:pPr>
            <w:r>
              <w:rPr>
                <w:sz w:val="20"/>
              </w:rPr>
              <w:t>9.2</w:t>
            </w:r>
          </w:p>
        </w:tc>
        <w:tc>
          <w:tcPr>
            <w:tcW w:w="1440" w:type="dxa"/>
            <w:shd w:val="clear" w:color="auto" w:fill="BDD6EE" w:themeFill="accent1" w:themeFillTint="66"/>
          </w:tcPr>
          <w:p w14:paraId="2D785732" w14:textId="18C7377C" w:rsidR="00D578EA" w:rsidRPr="00D578EA" w:rsidRDefault="00240674" w:rsidP="00D578EA">
            <w:pPr>
              <w:jc w:val="center"/>
              <w:rPr>
                <w:sz w:val="20"/>
              </w:rPr>
            </w:pPr>
            <w:r>
              <w:rPr>
                <w:sz w:val="20"/>
              </w:rPr>
              <w:t>76.1%</w:t>
            </w:r>
          </w:p>
        </w:tc>
      </w:tr>
    </w:tbl>
    <w:p w14:paraId="28789771" w14:textId="77777777" w:rsidR="0078016F" w:rsidRPr="00D578EA" w:rsidRDefault="0078016F" w:rsidP="008C299A">
      <w:pPr>
        <w:spacing w:after="0" w:line="240" w:lineRule="auto"/>
        <w:rPr>
          <w:sz w:val="20"/>
        </w:rPr>
      </w:pPr>
    </w:p>
    <w:p w14:paraId="1ECE9509" w14:textId="01691712" w:rsidR="00142917" w:rsidRDefault="00B57A6B" w:rsidP="008C299A">
      <w:pPr>
        <w:spacing w:after="0" w:line="240" w:lineRule="auto"/>
        <w:rPr>
          <w:sz w:val="20"/>
        </w:rPr>
      </w:pPr>
      <w:r>
        <w:rPr>
          <w:sz w:val="20"/>
        </w:rPr>
        <w:t xml:space="preserve">Offense accounts for 72.5%, on average, of the win-share value provided by this year’s MVP contenders, which is on par with the historical trends that we saw previously. Even players that we usually associate with defensive focus (Kawhi Leonard, Jimmy Butler) contribute two-thirds and three-quarters of their value on offense, respectively. It’s safe to say that we probably won’t be seeing a </w:t>
      </w:r>
      <w:r w:rsidR="00D553BD">
        <w:rPr>
          <w:sz w:val="20"/>
        </w:rPr>
        <w:t xml:space="preserve">MVP </w:t>
      </w:r>
      <w:r>
        <w:rPr>
          <w:sz w:val="20"/>
        </w:rPr>
        <w:t>season like 1963 Bill Russell again any time soon</w:t>
      </w:r>
      <w:r w:rsidR="00D553BD">
        <w:rPr>
          <w:sz w:val="20"/>
        </w:rPr>
        <w:t xml:space="preserve">. </w:t>
      </w:r>
    </w:p>
    <w:p w14:paraId="43570050" w14:textId="2B841F25" w:rsidR="008C299A" w:rsidRDefault="008C299A" w:rsidP="008C299A">
      <w:pPr>
        <w:spacing w:after="0" w:line="240" w:lineRule="auto"/>
        <w:rPr>
          <w:sz w:val="20"/>
        </w:rPr>
      </w:pPr>
    </w:p>
    <w:p w14:paraId="1F141842" w14:textId="24078CE7" w:rsidR="00D553BD" w:rsidRPr="00D578EA" w:rsidRDefault="00D553BD" w:rsidP="008C299A">
      <w:pPr>
        <w:spacing w:after="0" w:line="240" w:lineRule="auto"/>
        <w:rPr>
          <w:sz w:val="20"/>
        </w:rPr>
      </w:pPr>
      <w:r>
        <w:rPr>
          <w:sz w:val="20"/>
        </w:rPr>
        <w:t>The saying is that defense wins championships (</w:t>
      </w:r>
      <w:commentRangeStart w:id="4"/>
      <w:r w:rsidR="00501E18">
        <w:rPr>
          <w:sz w:val="20"/>
        </w:rPr>
        <w:t>d</w:t>
      </w:r>
      <w:r>
        <w:rPr>
          <w:sz w:val="20"/>
        </w:rPr>
        <w:t>e</w:t>
      </w:r>
      <w:r w:rsidR="00501E18">
        <w:rPr>
          <w:sz w:val="20"/>
        </w:rPr>
        <w:t>batable</w:t>
      </w:r>
      <w:commentRangeEnd w:id="4"/>
      <w:r w:rsidR="00501E18">
        <w:rPr>
          <w:rStyle w:val="CommentReference"/>
        </w:rPr>
        <w:commentReference w:id="4"/>
      </w:r>
      <w:r>
        <w:rPr>
          <w:sz w:val="20"/>
        </w:rPr>
        <w:t xml:space="preserve">), but </w:t>
      </w:r>
      <w:proofErr w:type="gramStart"/>
      <w:r w:rsidR="00501E18">
        <w:rPr>
          <w:sz w:val="20"/>
        </w:rPr>
        <w:t>more often than not</w:t>
      </w:r>
      <w:proofErr w:type="gramEnd"/>
      <w:r w:rsidR="00501E18">
        <w:rPr>
          <w:sz w:val="20"/>
        </w:rPr>
        <w:t xml:space="preserve"> it’s </w:t>
      </w:r>
      <w:r>
        <w:rPr>
          <w:sz w:val="20"/>
        </w:rPr>
        <w:t xml:space="preserve">offense </w:t>
      </w:r>
      <w:r w:rsidR="00501E18">
        <w:rPr>
          <w:sz w:val="20"/>
        </w:rPr>
        <w:t xml:space="preserve">that </w:t>
      </w:r>
      <w:r>
        <w:rPr>
          <w:sz w:val="20"/>
        </w:rPr>
        <w:t xml:space="preserve">wins MVPs. </w:t>
      </w:r>
      <w:r w:rsidR="00501E18">
        <w:rPr>
          <w:sz w:val="20"/>
        </w:rPr>
        <w:t xml:space="preserve">The young bloods of today’s NBA </w:t>
      </w:r>
      <w:r w:rsidR="00AA3C08">
        <w:rPr>
          <w:sz w:val="20"/>
        </w:rPr>
        <w:t>know that more than anyone.</w:t>
      </w:r>
    </w:p>
    <w:sectPr w:rsidR="00D553BD" w:rsidRPr="00D578E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Wei Chen" w:date="2017-02-25T00:28:00Z" w:initials="DC">
    <w:p w14:paraId="55DCB625" w14:textId="77777777" w:rsidR="005949A2" w:rsidRDefault="005949A2">
      <w:pPr>
        <w:pStyle w:val="CommentText"/>
      </w:pPr>
      <w:r>
        <w:rPr>
          <w:rStyle w:val="CommentReference"/>
        </w:rPr>
        <w:annotationRef/>
      </w:r>
      <w:r w:rsidRPr="005949A2">
        <w:t>https://www.youtube.com/watch?v=9eAANs5KrB4</w:t>
      </w:r>
    </w:p>
  </w:comment>
  <w:comment w:id="1" w:author="Dar-Wei Chen" w:date="2017-02-25T10:54:00Z" w:initials="DC">
    <w:p w14:paraId="308CDA30" w14:textId="2A82021B" w:rsidR="00142917" w:rsidRDefault="00142917">
      <w:pPr>
        <w:pStyle w:val="CommentText"/>
      </w:pPr>
      <w:r>
        <w:rPr>
          <w:rStyle w:val="CommentReference"/>
        </w:rPr>
        <w:annotationRef/>
      </w:r>
      <w:r w:rsidRPr="00142917">
        <w:t>http://www.basketball-reference.com/leaders/ows_season.html</w:t>
      </w:r>
    </w:p>
  </w:comment>
  <w:comment w:id="2" w:author="Dar-Wei Chen" w:date="2017-02-25T10:55:00Z" w:initials="DC">
    <w:p w14:paraId="59099865" w14:textId="3B9AF13F" w:rsidR="00142917" w:rsidRDefault="00142917">
      <w:pPr>
        <w:pStyle w:val="CommentText"/>
      </w:pPr>
      <w:r>
        <w:rPr>
          <w:rStyle w:val="CommentReference"/>
        </w:rPr>
        <w:annotationRef/>
      </w:r>
      <w:r w:rsidRPr="00142917">
        <w:t>http://www.basketball-reference.com/leaders/dws_season.html</w:t>
      </w:r>
    </w:p>
  </w:comment>
  <w:comment w:id="4" w:author="Dar-Wei Chen" w:date="2017-02-25T19:58:00Z" w:initials="DC">
    <w:p w14:paraId="093AEF95" w14:textId="77777777" w:rsidR="00501E18" w:rsidRDefault="00501E18" w:rsidP="00501E18">
      <w:pPr>
        <w:pStyle w:val="CommentText"/>
      </w:pPr>
      <w:r>
        <w:rPr>
          <w:rStyle w:val="CommentReference"/>
        </w:rPr>
        <w:annotationRef/>
      </w:r>
      <w:r>
        <w:rPr>
          <w:rStyle w:val="CommentReference"/>
        </w:rPr>
        <w:annotationRef/>
      </w:r>
      <w:r w:rsidRPr="00D553BD">
        <w:t>http://bleacherreport.com/articles/2265297-does-defense-really-win-championships-in-the-nba</w:t>
      </w:r>
    </w:p>
    <w:p w14:paraId="40F106EC" w14:textId="79A34FD7" w:rsidR="00501E18" w:rsidRDefault="00501E1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CB625" w15:done="0"/>
  <w15:commentEx w15:paraId="308CDA30" w15:done="0"/>
  <w15:commentEx w15:paraId="59099865" w15:done="0"/>
  <w15:commentEx w15:paraId="40F106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A0"/>
    <w:multiLevelType w:val="hybridMultilevel"/>
    <w:tmpl w:val="76E48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303C4"/>
    <w:multiLevelType w:val="hybridMultilevel"/>
    <w:tmpl w:val="644C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E0B2B"/>
    <w:multiLevelType w:val="hybridMultilevel"/>
    <w:tmpl w:val="69FA0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Wei Chen">
    <w15:presenceInfo w15:providerId="Windows Live" w15:userId="3f4440630dbc4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BB"/>
    <w:rsid w:val="00001DB3"/>
    <w:rsid w:val="00023EF7"/>
    <w:rsid w:val="000C3388"/>
    <w:rsid w:val="00142917"/>
    <w:rsid w:val="001513BB"/>
    <w:rsid w:val="001713A1"/>
    <w:rsid w:val="0018013F"/>
    <w:rsid w:val="001D795D"/>
    <w:rsid w:val="00240674"/>
    <w:rsid w:val="00293B55"/>
    <w:rsid w:val="0030538E"/>
    <w:rsid w:val="00335BD4"/>
    <w:rsid w:val="0036378A"/>
    <w:rsid w:val="0039779A"/>
    <w:rsid w:val="003B1FBF"/>
    <w:rsid w:val="003E6236"/>
    <w:rsid w:val="00425A3E"/>
    <w:rsid w:val="004A2515"/>
    <w:rsid w:val="004A5482"/>
    <w:rsid w:val="004D5697"/>
    <w:rsid w:val="004E12FD"/>
    <w:rsid w:val="00501E18"/>
    <w:rsid w:val="00537ED7"/>
    <w:rsid w:val="005949A2"/>
    <w:rsid w:val="00622EE2"/>
    <w:rsid w:val="0069017C"/>
    <w:rsid w:val="007332BE"/>
    <w:rsid w:val="0078016F"/>
    <w:rsid w:val="0078666A"/>
    <w:rsid w:val="007A20F0"/>
    <w:rsid w:val="00824FC9"/>
    <w:rsid w:val="00840EA8"/>
    <w:rsid w:val="0084173F"/>
    <w:rsid w:val="00870A4F"/>
    <w:rsid w:val="008877DD"/>
    <w:rsid w:val="008C299A"/>
    <w:rsid w:val="008C36DD"/>
    <w:rsid w:val="00910A0E"/>
    <w:rsid w:val="0091288B"/>
    <w:rsid w:val="009305B3"/>
    <w:rsid w:val="00955A2D"/>
    <w:rsid w:val="00971837"/>
    <w:rsid w:val="009915BB"/>
    <w:rsid w:val="00991FE4"/>
    <w:rsid w:val="00A04E14"/>
    <w:rsid w:val="00A32E71"/>
    <w:rsid w:val="00A518CB"/>
    <w:rsid w:val="00A52FDA"/>
    <w:rsid w:val="00AA3C08"/>
    <w:rsid w:val="00AD3605"/>
    <w:rsid w:val="00AE012A"/>
    <w:rsid w:val="00B57A6B"/>
    <w:rsid w:val="00B7669F"/>
    <w:rsid w:val="00C25575"/>
    <w:rsid w:val="00C90627"/>
    <w:rsid w:val="00CA26DE"/>
    <w:rsid w:val="00CB49C0"/>
    <w:rsid w:val="00CD2A16"/>
    <w:rsid w:val="00D553BD"/>
    <w:rsid w:val="00D578EA"/>
    <w:rsid w:val="00D77EC6"/>
    <w:rsid w:val="00D87C9F"/>
    <w:rsid w:val="00DE593B"/>
    <w:rsid w:val="00E84985"/>
    <w:rsid w:val="00F17215"/>
    <w:rsid w:val="00F6645E"/>
    <w:rsid w:val="00F7154F"/>
    <w:rsid w:val="00FD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D9DB"/>
  <w15:chartTrackingRefBased/>
  <w15:docId w15:val="{C5D70E9A-1B06-446E-A4A8-BAB77478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BB"/>
    <w:pPr>
      <w:ind w:left="720"/>
      <w:contextualSpacing/>
    </w:pPr>
  </w:style>
  <w:style w:type="character" w:styleId="CommentReference">
    <w:name w:val="annotation reference"/>
    <w:basedOn w:val="DefaultParagraphFont"/>
    <w:uiPriority w:val="99"/>
    <w:semiHidden/>
    <w:unhideWhenUsed/>
    <w:rsid w:val="005949A2"/>
    <w:rPr>
      <w:sz w:val="16"/>
      <w:szCs w:val="16"/>
    </w:rPr>
  </w:style>
  <w:style w:type="paragraph" w:styleId="CommentText">
    <w:name w:val="annotation text"/>
    <w:basedOn w:val="Normal"/>
    <w:link w:val="CommentTextChar"/>
    <w:uiPriority w:val="99"/>
    <w:semiHidden/>
    <w:unhideWhenUsed/>
    <w:rsid w:val="005949A2"/>
    <w:pPr>
      <w:spacing w:line="240" w:lineRule="auto"/>
    </w:pPr>
    <w:rPr>
      <w:sz w:val="20"/>
      <w:szCs w:val="20"/>
    </w:rPr>
  </w:style>
  <w:style w:type="character" w:customStyle="1" w:styleId="CommentTextChar">
    <w:name w:val="Comment Text Char"/>
    <w:basedOn w:val="DefaultParagraphFont"/>
    <w:link w:val="CommentText"/>
    <w:uiPriority w:val="99"/>
    <w:semiHidden/>
    <w:rsid w:val="005949A2"/>
    <w:rPr>
      <w:sz w:val="20"/>
      <w:szCs w:val="20"/>
    </w:rPr>
  </w:style>
  <w:style w:type="paragraph" w:styleId="CommentSubject">
    <w:name w:val="annotation subject"/>
    <w:basedOn w:val="CommentText"/>
    <w:next w:val="CommentText"/>
    <w:link w:val="CommentSubjectChar"/>
    <w:uiPriority w:val="99"/>
    <w:semiHidden/>
    <w:unhideWhenUsed/>
    <w:rsid w:val="005949A2"/>
    <w:rPr>
      <w:b/>
      <w:bCs/>
    </w:rPr>
  </w:style>
  <w:style w:type="character" w:customStyle="1" w:styleId="CommentSubjectChar">
    <w:name w:val="Comment Subject Char"/>
    <w:basedOn w:val="CommentTextChar"/>
    <w:link w:val="CommentSubject"/>
    <w:uiPriority w:val="99"/>
    <w:semiHidden/>
    <w:rsid w:val="005949A2"/>
    <w:rPr>
      <w:b/>
      <w:bCs/>
      <w:sz w:val="20"/>
      <w:szCs w:val="20"/>
    </w:rPr>
  </w:style>
  <w:style w:type="paragraph" w:styleId="BalloonText">
    <w:name w:val="Balloon Text"/>
    <w:basedOn w:val="Normal"/>
    <w:link w:val="BalloonTextChar"/>
    <w:uiPriority w:val="99"/>
    <w:semiHidden/>
    <w:unhideWhenUsed/>
    <w:rsid w:val="00594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9A2"/>
    <w:rPr>
      <w:rFonts w:ascii="Segoe UI" w:hAnsi="Segoe UI" w:cs="Segoe UI"/>
      <w:sz w:val="18"/>
      <w:szCs w:val="18"/>
    </w:rPr>
  </w:style>
  <w:style w:type="table" w:styleId="TableGrid">
    <w:name w:val="Table Grid"/>
    <w:basedOn w:val="TableNormal"/>
    <w:uiPriority w:val="39"/>
    <w:rsid w:val="00A5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Dar-Wei Chen</dc:creator>
  <cp:keywords/>
  <dc:description/>
  <cp:lastModifiedBy>Dar-Wei Chen</cp:lastModifiedBy>
  <cp:revision>2</cp:revision>
  <dcterms:created xsi:type="dcterms:W3CDTF">2018-01-15T22:19:00Z</dcterms:created>
  <dcterms:modified xsi:type="dcterms:W3CDTF">2018-01-15T22:19:00Z</dcterms:modified>
</cp:coreProperties>
</file>